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7"/>
        <w:gridCol w:w="4213"/>
      </w:tblGrid>
      <w:tr w:rsidR="000E3EB9" w:rsidTr="004D564D">
        <w:tc>
          <w:tcPr>
            <w:tcW w:w="5597" w:type="dxa"/>
            <w:vAlign w:val="center"/>
          </w:tcPr>
          <w:p w:rsidR="000E3EB9" w:rsidRDefault="000E3EB9" w:rsidP="004D564D">
            <w:bookmarkStart w:id="0" w:name="_GoBack"/>
            <w:bookmarkEnd w:id="0"/>
            <w:r>
              <w:rPr>
                <w:noProof/>
              </w:rPr>
              <w:drawing>
                <wp:inline distT="0" distB="0" distL="0" distR="0" wp14:anchorId="521F54EA" wp14:editId="17096A5B">
                  <wp:extent cx="2294652" cy="922020"/>
                  <wp:effectExtent l="0" t="0" r="0" b="0"/>
                  <wp:docPr id="3" name="Picture 3" descr="cid:image005.png@01D1C590.6549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C590.6549C17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821527" cy="1133725"/>
                          </a:xfrm>
                          <a:prstGeom prst="rect">
                            <a:avLst/>
                          </a:prstGeom>
                          <a:noFill/>
                          <a:ln>
                            <a:noFill/>
                          </a:ln>
                        </pic:spPr>
                      </pic:pic>
                    </a:graphicData>
                  </a:graphic>
                </wp:inline>
              </w:drawing>
            </w:r>
          </w:p>
        </w:tc>
        <w:tc>
          <w:tcPr>
            <w:tcW w:w="4213" w:type="dxa"/>
            <w:vAlign w:val="center"/>
          </w:tcPr>
          <w:p w:rsidR="000E3EB9" w:rsidRPr="00F00B20" w:rsidRDefault="000E3EB9" w:rsidP="004D564D">
            <w:pPr>
              <w:jc w:val="center"/>
              <w:rPr>
                <w:b/>
                <w:sz w:val="28"/>
              </w:rPr>
            </w:pPr>
            <w:r>
              <w:rPr>
                <w:b/>
                <w:sz w:val="28"/>
              </w:rPr>
              <w:t>BOARD MEETING MINUTES</w:t>
            </w:r>
          </w:p>
          <w:p w:rsidR="000E3EB9" w:rsidRPr="00F00B20" w:rsidRDefault="008D6E38" w:rsidP="004D564D">
            <w:pPr>
              <w:jc w:val="center"/>
              <w:rPr>
                <w:b/>
              </w:rPr>
            </w:pPr>
            <w:r>
              <w:rPr>
                <w:b/>
              </w:rPr>
              <w:t>June 1, 2017</w:t>
            </w:r>
          </w:p>
          <w:p w:rsidR="008D6E38" w:rsidRDefault="008D6E38" w:rsidP="004D564D">
            <w:pPr>
              <w:jc w:val="center"/>
              <w:rPr>
                <w:b/>
                <w:szCs w:val="24"/>
              </w:rPr>
            </w:pPr>
            <w:r>
              <w:rPr>
                <w:b/>
                <w:szCs w:val="24"/>
              </w:rPr>
              <w:t>Red Lion Hotel</w:t>
            </w:r>
          </w:p>
          <w:p w:rsidR="000E3EB9" w:rsidRPr="008D6E38" w:rsidRDefault="008D6E38" w:rsidP="004D564D">
            <w:pPr>
              <w:jc w:val="center"/>
              <w:rPr>
                <w:b/>
                <w:i/>
                <w:szCs w:val="24"/>
              </w:rPr>
            </w:pPr>
            <w:r w:rsidRPr="008D6E38">
              <w:rPr>
                <w:b/>
                <w:szCs w:val="24"/>
              </w:rPr>
              <w:t>Coos Bay, OR</w:t>
            </w:r>
          </w:p>
        </w:tc>
      </w:tr>
      <w:tr w:rsidR="000E3EB9" w:rsidTr="004D564D">
        <w:tc>
          <w:tcPr>
            <w:tcW w:w="9810" w:type="dxa"/>
            <w:gridSpan w:val="2"/>
          </w:tcPr>
          <w:p w:rsidR="000E3EB9" w:rsidRDefault="000E3EB9" w:rsidP="004D564D">
            <w:pPr>
              <w:rPr>
                <w:b/>
                <w:u w:val="single"/>
              </w:rPr>
            </w:pPr>
          </w:p>
          <w:p w:rsidR="000E3EB9" w:rsidRDefault="000E3EB9" w:rsidP="004D564D">
            <w:pPr>
              <w:rPr>
                <w:b/>
                <w:u w:val="single"/>
              </w:rPr>
            </w:pPr>
          </w:p>
          <w:tbl>
            <w:tblPr>
              <w:tblStyle w:val="TableGrid"/>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3422"/>
              <w:gridCol w:w="2522"/>
            </w:tblGrid>
            <w:tr w:rsidR="000E3EB9" w:rsidTr="004D564D">
              <w:tc>
                <w:tcPr>
                  <w:tcW w:w="3490" w:type="dxa"/>
                </w:tcPr>
                <w:p w:rsidR="000E3EB9" w:rsidRPr="00877D90" w:rsidRDefault="000E3EB9" w:rsidP="004D564D">
                  <w:pPr>
                    <w:pStyle w:val="ListParagraph"/>
                    <w:ind w:left="0" w:right="-180"/>
                    <w:rPr>
                      <w:b/>
                      <w:szCs w:val="24"/>
                    </w:rPr>
                  </w:pPr>
                  <w:r w:rsidRPr="00877D90">
                    <w:rPr>
                      <w:b/>
                      <w:szCs w:val="24"/>
                    </w:rPr>
                    <w:t>SOWIB Members Present</w:t>
                  </w:r>
                  <w:r>
                    <w:rPr>
                      <w:b/>
                      <w:szCs w:val="24"/>
                    </w:rPr>
                    <w:t>:</w:t>
                  </w:r>
                </w:p>
              </w:tc>
              <w:tc>
                <w:tcPr>
                  <w:tcW w:w="3422" w:type="dxa"/>
                </w:tcPr>
                <w:p w:rsidR="000E3EB9" w:rsidRDefault="000E3EB9" w:rsidP="004D564D">
                  <w:pPr>
                    <w:pStyle w:val="ListParagraph"/>
                    <w:ind w:left="0" w:right="-180"/>
                    <w:rPr>
                      <w:szCs w:val="24"/>
                    </w:rPr>
                  </w:pP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Default="008D6E38" w:rsidP="004D564D">
                  <w:pPr>
                    <w:pStyle w:val="ListParagraph"/>
                    <w:ind w:left="0" w:right="-180"/>
                    <w:rPr>
                      <w:szCs w:val="24"/>
                    </w:rPr>
                  </w:pPr>
                  <w:r>
                    <w:rPr>
                      <w:szCs w:val="24"/>
                    </w:rPr>
                    <w:t>Kelly Morgan</w:t>
                  </w:r>
                </w:p>
              </w:tc>
              <w:tc>
                <w:tcPr>
                  <w:tcW w:w="3422" w:type="dxa"/>
                </w:tcPr>
                <w:p w:rsidR="000E3EB9" w:rsidRDefault="008D6E38" w:rsidP="004D564D">
                  <w:pPr>
                    <w:pStyle w:val="ListParagraph"/>
                    <w:ind w:left="0" w:right="-180"/>
                    <w:rPr>
                      <w:szCs w:val="24"/>
                    </w:rPr>
                  </w:pPr>
                  <w:r>
                    <w:rPr>
                      <w:szCs w:val="24"/>
                    </w:rPr>
                    <w:t>Tera Martinez</w:t>
                  </w:r>
                </w:p>
              </w:tc>
              <w:tc>
                <w:tcPr>
                  <w:tcW w:w="2522" w:type="dxa"/>
                </w:tcPr>
                <w:p w:rsidR="000E3EB9" w:rsidRDefault="000E3EB9" w:rsidP="004D564D">
                  <w:pPr>
                    <w:pStyle w:val="ListParagraph"/>
                    <w:ind w:left="0" w:right="-180"/>
                    <w:rPr>
                      <w:szCs w:val="24"/>
                    </w:rPr>
                  </w:pPr>
                  <w:r>
                    <w:rPr>
                      <w:szCs w:val="24"/>
                    </w:rPr>
                    <w:t>Debbie Sargent</w:t>
                  </w:r>
                </w:p>
              </w:tc>
            </w:tr>
            <w:tr w:rsidR="000E3EB9" w:rsidTr="004D564D">
              <w:tc>
                <w:tcPr>
                  <w:tcW w:w="3490" w:type="dxa"/>
                </w:tcPr>
                <w:p w:rsidR="000E3EB9" w:rsidRDefault="000E3EB9" w:rsidP="004D564D">
                  <w:pPr>
                    <w:pStyle w:val="ListParagraph"/>
                    <w:ind w:left="0" w:right="-180"/>
                    <w:rPr>
                      <w:szCs w:val="24"/>
                    </w:rPr>
                  </w:pPr>
                  <w:r>
                    <w:rPr>
                      <w:szCs w:val="24"/>
                    </w:rPr>
                    <w:t xml:space="preserve">Jon </w:t>
                  </w:r>
                  <w:proofErr w:type="spellStart"/>
                  <w:r>
                    <w:rPr>
                      <w:szCs w:val="24"/>
                    </w:rPr>
                    <w:t>McAmis</w:t>
                  </w:r>
                  <w:proofErr w:type="spellEnd"/>
                  <w:r w:rsidR="008D6E38">
                    <w:rPr>
                      <w:szCs w:val="24"/>
                    </w:rPr>
                    <w:t xml:space="preserve"> (phone)</w:t>
                  </w:r>
                </w:p>
              </w:tc>
              <w:tc>
                <w:tcPr>
                  <w:tcW w:w="3422" w:type="dxa"/>
                </w:tcPr>
                <w:p w:rsidR="000E3EB9" w:rsidRDefault="000E3EB9" w:rsidP="004D564D">
                  <w:pPr>
                    <w:pStyle w:val="ListParagraph"/>
                    <w:ind w:left="0" w:right="-180"/>
                    <w:rPr>
                      <w:szCs w:val="24"/>
                    </w:rPr>
                  </w:pPr>
                  <w:r>
                    <w:rPr>
                      <w:szCs w:val="24"/>
                    </w:rPr>
                    <w:t xml:space="preserve">Robert </w:t>
                  </w:r>
                  <w:proofErr w:type="spellStart"/>
                  <w:r>
                    <w:rPr>
                      <w:szCs w:val="24"/>
                    </w:rPr>
                    <w:t>Westerman</w:t>
                  </w:r>
                  <w:proofErr w:type="spellEnd"/>
                  <w:r w:rsidR="008D6E38">
                    <w:rPr>
                      <w:szCs w:val="24"/>
                    </w:rPr>
                    <w:t xml:space="preserve"> (phone)</w:t>
                  </w:r>
                </w:p>
              </w:tc>
              <w:tc>
                <w:tcPr>
                  <w:tcW w:w="2522" w:type="dxa"/>
                </w:tcPr>
                <w:p w:rsidR="000E3EB9" w:rsidRDefault="000E3EB9" w:rsidP="004D564D">
                  <w:pPr>
                    <w:pStyle w:val="ListParagraph"/>
                    <w:ind w:left="0" w:right="-180"/>
                    <w:rPr>
                      <w:szCs w:val="24"/>
                    </w:rPr>
                  </w:pPr>
                  <w:r>
                    <w:rPr>
                      <w:szCs w:val="24"/>
                    </w:rPr>
                    <w:t>Andy Owens</w:t>
                  </w:r>
                </w:p>
              </w:tc>
            </w:tr>
            <w:tr w:rsidR="000E3EB9" w:rsidTr="004D564D">
              <w:tc>
                <w:tcPr>
                  <w:tcW w:w="3490" w:type="dxa"/>
                </w:tcPr>
                <w:p w:rsidR="000E3EB9" w:rsidRDefault="008D6E38" w:rsidP="004D564D">
                  <w:pPr>
                    <w:pStyle w:val="ListParagraph"/>
                    <w:ind w:left="0" w:right="-180"/>
                    <w:rPr>
                      <w:szCs w:val="24"/>
                    </w:rPr>
                  </w:pPr>
                  <w:r>
                    <w:rPr>
                      <w:szCs w:val="24"/>
                    </w:rPr>
                    <w:t>Doug Eberlein</w:t>
                  </w:r>
                </w:p>
                <w:p w:rsidR="000E3EB9" w:rsidRDefault="000E3EB9" w:rsidP="004D564D">
                  <w:pPr>
                    <w:pStyle w:val="ListParagraph"/>
                    <w:ind w:left="0" w:right="-180"/>
                    <w:rPr>
                      <w:szCs w:val="24"/>
                    </w:rPr>
                  </w:pPr>
                  <w:r>
                    <w:rPr>
                      <w:szCs w:val="24"/>
                    </w:rPr>
                    <w:t>Dena Miles</w:t>
                  </w:r>
                </w:p>
                <w:p w:rsidR="000E3EB9" w:rsidRDefault="008D6E38" w:rsidP="004D564D">
                  <w:pPr>
                    <w:pStyle w:val="ListParagraph"/>
                    <w:ind w:left="0" w:right="-180"/>
                    <w:rPr>
                      <w:szCs w:val="24"/>
                    </w:rPr>
                  </w:pPr>
                  <w:r>
                    <w:rPr>
                      <w:szCs w:val="24"/>
                    </w:rPr>
                    <w:t xml:space="preserve">Joe Benetti </w:t>
                  </w:r>
                </w:p>
                <w:p w:rsidR="000E3EB9" w:rsidRDefault="000E3EB9" w:rsidP="004D564D">
                  <w:pPr>
                    <w:pStyle w:val="ListParagraph"/>
                    <w:ind w:left="0" w:right="-180"/>
                    <w:rPr>
                      <w:szCs w:val="24"/>
                    </w:rPr>
                  </w:pPr>
                </w:p>
              </w:tc>
              <w:tc>
                <w:tcPr>
                  <w:tcW w:w="3422" w:type="dxa"/>
                </w:tcPr>
                <w:p w:rsidR="000E3EB9" w:rsidRDefault="000E3EB9" w:rsidP="004D564D">
                  <w:pPr>
                    <w:pStyle w:val="ListParagraph"/>
                    <w:ind w:left="0" w:right="-180"/>
                    <w:rPr>
                      <w:szCs w:val="24"/>
                    </w:rPr>
                  </w:pPr>
                  <w:r>
                    <w:rPr>
                      <w:szCs w:val="24"/>
                    </w:rPr>
                    <w:t xml:space="preserve">Bryan </w:t>
                  </w:r>
                  <w:proofErr w:type="spellStart"/>
                  <w:r>
                    <w:rPr>
                      <w:szCs w:val="24"/>
                    </w:rPr>
                    <w:t>Grummon</w:t>
                  </w:r>
                  <w:proofErr w:type="spellEnd"/>
                </w:p>
                <w:p w:rsidR="000E3EB9" w:rsidRDefault="000E3EB9" w:rsidP="004D564D">
                  <w:pPr>
                    <w:pStyle w:val="ListParagraph"/>
                    <w:ind w:left="0" w:right="-180"/>
                    <w:rPr>
                      <w:szCs w:val="24"/>
                    </w:rPr>
                  </w:pPr>
                  <w:r>
                    <w:rPr>
                      <w:szCs w:val="24"/>
                    </w:rPr>
                    <w:t>Mike Lehman</w:t>
                  </w:r>
                </w:p>
                <w:p w:rsidR="000E3EB9" w:rsidRDefault="000E3EB9" w:rsidP="004D564D">
                  <w:pPr>
                    <w:pStyle w:val="ListParagraph"/>
                    <w:ind w:left="0" w:right="-180"/>
                    <w:rPr>
                      <w:szCs w:val="24"/>
                    </w:rPr>
                  </w:pPr>
                  <w:r>
                    <w:rPr>
                      <w:szCs w:val="24"/>
                    </w:rPr>
                    <w:t>Amy Kincaid</w:t>
                  </w:r>
                  <w:r w:rsidR="008D6E38">
                    <w:rPr>
                      <w:szCs w:val="24"/>
                    </w:rPr>
                    <w:t xml:space="preserve"> (phone)</w:t>
                  </w:r>
                </w:p>
              </w:tc>
              <w:tc>
                <w:tcPr>
                  <w:tcW w:w="2522" w:type="dxa"/>
                </w:tcPr>
                <w:p w:rsidR="000E3EB9" w:rsidRDefault="000E3EB9" w:rsidP="004D564D">
                  <w:pPr>
                    <w:pStyle w:val="ListParagraph"/>
                    <w:ind w:left="0" w:right="-180"/>
                    <w:rPr>
                      <w:szCs w:val="24"/>
                    </w:rPr>
                  </w:pPr>
                  <w:r>
                    <w:rPr>
                      <w:szCs w:val="24"/>
                    </w:rPr>
                    <w:t>Tami Trowbridge</w:t>
                  </w:r>
                </w:p>
                <w:p w:rsidR="000E3EB9" w:rsidRDefault="000E3EB9" w:rsidP="004D564D">
                  <w:pPr>
                    <w:pStyle w:val="ListParagraph"/>
                    <w:ind w:left="0" w:right="-180"/>
                    <w:rPr>
                      <w:szCs w:val="24"/>
                    </w:rPr>
                  </w:pPr>
                  <w:r>
                    <w:rPr>
                      <w:szCs w:val="24"/>
                    </w:rPr>
                    <w:t>Georgia Nowlin</w:t>
                  </w:r>
                </w:p>
                <w:p w:rsidR="000E3EB9" w:rsidRDefault="000E3EB9" w:rsidP="004D564D">
                  <w:pPr>
                    <w:pStyle w:val="ListParagraph"/>
                    <w:ind w:left="0" w:right="-180"/>
                    <w:rPr>
                      <w:szCs w:val="24"/>
                    </w:rPr>
                  </w:pPr>
                </w:p>
              </w:tc>
            </w:tr>
            <w:tr w:rsidR="000E3EB9" w:rsidTr="004D564D">
              <w:tc>
                <w:tcPr>
                  <w:tcW w:w="3490" w:type="dxa"/>
                </w:tcPr>
                <w:p w:rsidR="000E3EB9" w:rsidRDefault="000E3EB9" w:rsidP="004D564D">
                  <w:pPr>
                    <w:pStyle w:val="ListParagraph"/>
                    <w:ind w:left="0" w:right="-180"/>
                    <w:rPr>
                      <w:szCs w:val="24"/>
                    </w:rPr>
                  </w:pPr>
                </w:p>
              </w:tc>
              <w:tc>
                <w:tcPr>
                  <w:tcW w:w="3422" w:type="dxa"/>
                </w:tcPr>
                <w:p w:rsidR="000E3EB9" w:rsidRDefault="000E3EB9" w:rsidP="004D564D">
                  <w:pPr>
                    <w:pStyle w:val="ListParagraph"/>
                    <w:ind w:left="0" w:right="-180"/>
                    <w:rPr>
                      <w:szCs w:val="24"/>
                    </w:rPr>
                  </w:pP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Default="000E3EB9" w:rsidP="004D564D">
                  <w:pPr>
                    <w:pStyle w:val="ListParagraph"/>
                    <w:ind w:left="0" w:right="-180"/>
                    <w:rPr>
                      <w:szCs w:val="24"/>
                    </w:rPr>
                  </w:pPr>
                </w:p>
              </w:tc>
              <w:tc>
                <w:tcPr>
                  <w:tcW w:w="3422" w:type="dxa"/>
                </w:tcPr>
                <w:p w:rsidR="000E3EB9" w:rsidRDefault="000E3EB9" w:rsidP="004D564D">
                  <w:pPr>
                    <w:pStyle w:val="ListParagraph"/>
                    <w:ind w:left="0" w:right="-180"/>
                    <w:rPr>
                      <w:szCs w:val="24"/>
                    </w:rPr>
                  </w:pP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Pr="00877D90" w:rsidRDefault="000E3EB9" w:rsidP="004D564D">
                  <w:pPr>
                    <w:pStyle w:val="ListParagraph"/>
                    <w:ind w:left="0" w:right="-180"/>
                    <w:rPr>
                      <w:b/>
                      <w:szCs w:val="24"/>
                    </w:rPr>
                  </w:pPr>
                  <w:r w:rsidRPr="00877D90">
                    <w:rPr>
                      <w:b/>
                      <w:szCs w:val="24"/>
                    </w:rPr>
                    <w:t>SOWIB Staff Present:</w:t>
                  </w:r>
                </w:p>
              </w:tc>
              <w:tc>
                <w:tcPr>
                  <w:tcW w:w="3422" w:type="dxa"/>
                </w:tcPr>
                <w:p w:rsidR="000E3EB9" w:rsidRDefault="000E3EB9" w:rsidP="004D564D">
                  <w:pPr>
                    <w:pStyle w:val="ListParagraph"/>
                    <w:ind w:left="0" w:right="-180"/>
                    <w:rPr>
                      <w:szCs w:val="24"/>
                    </w:rPr>
                  </w:pP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Default="000E3EB9" w:rsidP="004D564D">
                  <w:pPr>
                    <w:pStyle w:val="ListParagraph"/>
                    <w:ind w:left="0" w:right="-180"/>
                    <w:rPr>
                      <w:szCs w:val="24"/>
                    </w:rPr>
                  </w:pPr>
                  <w:r>
                    <w:rPr>
                      <w:szCs w:val="24"/>
                    </w:rPr>
                    <w:t>Jake McClelland</w:t>
                  </w:r>
                </w:p>
              </w:tc>
              <w:tc>
                <w:tcPr>
                  <w:tcW w:w="3422" w:type="dxa"/>
                </w:tcPr>
                <w:p w:rsidR="000E3EB9" w:rsidRDefault="000E3EB9" w:rsidP="004D564D">
                  <w:pPr>
                    <w:pStyle w:val="ListParagraph"/>
                    <w:ind w:left="0" w:right="-180"/>
                    <w:rPr>
                      <w:szCs w:val="24"/>
                    </w:rPr>
                  </w:pPr>
                  <w:r>
                    <w:rPr>
                      <w:szCs w:val="24"/>
                    </w:rPr>
                    <w:t>Angie Billings</w:t>
                  </w:r>
                </w:p>
              </w:tc>
              <w:tc>
                <w:tcPr>
                  <w:tcW w:w="2522" w:type="dxa"/>
                </w:tcPr>
                <w:p w:rsidR="000E3EB9" w:rsidRDefault="008F662C" w:rsidP="004D564D">
                  <w:pPr>
                    <w:pStyle w:val="ListParagraph"/>
                    <w:ind w:left="0" w:right="-180"/>
                    <w:rPr>
                      <w:szCs w:val="24"/>
                    </w:rPr>
                  </w:pPr>
                  <w:r>
                    <w:rPr>
                      <w:szCs w:val="24"/>
                    </w:rPr>
                    <w:t>Lisa Crockett</w:t>
                  </w:r>
                </w:p>
              </w:tc>
            </w:tr>
            <w:tr w:rsidR="000E3EB9" w:rsidTr="004D564D">
              <w:tc>
                <w:tcPr>
                  <w:tcW w:w="3490" w:type="dxa"/>
                </w:tcPr>
                <w:p w:rsidR="000E3EB9" w:rsidRDefault="000E3EB9" w:rsidP="004D564D">
                  <w:pPr>
                    <w:pStyle w:val="ListParagraph"/>
                    <w:ind w:left="0" w:right="-180"/>
                    <w:rPr>
                      <w:szCs w:val="24"/>
                    </w:rPr>
                  </w:pPr>
                  <w:r>
                    <w:rPr>
                      <w:szCs w:val="24"/>
                    </w:rPr>
                    <w:t>Kyle Stevens</w:t>
                  </w:r>
                </w:p>
                <w:p w:rsidR="000E3EB9" w:rsidRDefault="000E3EB9" w:rsidP="004D564D">
                  <w:pPr>
                    <w:pStyle w:val="ListParagraph"/>
                    <w:ind w:left="0" w:right="-180"/>
                    <w:rPr>
                      <w:szCs w:val="24"/>
                    </w:rPr>
                  </w:pPr>
                </w:p>
              </w:tc>
              <w:tc>
                <w:tcPr>
                  <w:tcW w:w="3422" w:type="dxa"/>
                </w:tcPr>
                <w:p w:rsidR="000E3EB9" w:rsidRDefault="000E3EB9" w:rsidP="004D564D">
                  <w:pPr>
                    <w:pStyle w:val="ListParagraph"/>
                    <w:ind w:left="0" w:right="-180"/>
                    <w:rPr>
                      <w:szCs w:val="24"/>
                    </w:rPr>
                  </w:pPr>
                </w:p>
              </w:tc>
              <w:tc>
                <w:tcPr>
                  <w:tcW w:w="2522" w:type="dxa"/>
                </w:tcPr>
                <w:p w:rsidR="000E3EB9" w:rsidRDefault="000E3EB9" w:rsidP="004D564D">
                  <w:pPr>
                    <w:pStyle w:val="ListParagraph"/>
                    <w:ind w:left="0" w:right="-180"/>
                    <w:rPr>
                      <w:szCs w:val="24"/>
                    </w:rPr>
                  </w:pPr>
                </w:p>
              </w:tc>
            </w:tr>
            <w:tr w:rsidR="000E3EB9" w:rsidTr="004D564D">
              <w:tc>
                <w:tcPr>
                  <w:tcW w:w="3490" w:type="dxa"/>
                </w:tcPr>
                <w:p w:rsidR="000E3EB9" w:rsidRPr="00877D90" w:rsidRDefault="000E3EB9" w:rsidP="004D564D">
                  <w:pPr>
                    <w:pStyle w:val="ListParagraph"/>
                    <w:ind w:left="0" w:right="-180"/>
                    <w:rPr>
                      <w:b/>
                      <w:szCs w:val="24"/>
                    </w:rPr>
                  </w:pPr>
                  <w:r w:rsidRPr="00877D90">
                    <w:rPr>
                      <w:b/>
                      <w:szCs w:val="24"/>
                    </w:rPr>
                    <w:t>Others Present:</w:t>
                  </w:r>
                </w:p>
              </w:tc>
              <w:tc>
                <w:tcPr>
                  <w:tcW w:w="3422" w:type="dxa"/>
                </w:tcPr>
                <w:p w:rsidR="000E3EB9" w:rsidRDefault="000E3EB9" w:rsidP="004D564D">
                  <w:pPr>
                    <w:pStyle w:val="ListParagraph"/>
                    <w:ind w:left="0" w:right="-180"/>
                    <w:rPr>
                      <w:szCs w:val="24"/>
                    </w:rPr>
                  </w:pPr>
                </w:p>
              </w:tc>
              <w:tc>
                <w:tcPr>
                  <w:tcW w:w="2522" w:type="dxa"/>
                </w:tcPr>
                <w:p w:rsidR="000E3EB9" w:rsidRDefault="000E3EB9" w:rsidP="004D564D">
                  <w:pPr>
                    <w:pStyle w:val="ListParagraph"/>
                    <w:ind w:left="0" w:right="-180"/>
                    <w:rPr>
                      <w:szCs w:val="24"/>
                    </w:rPr>
                  </w:pPr>
                </w:p>
              </w:tc>
            </w:tr>
            <w:tr w:rsidR="000E3EB9" w:rsidTr="004D564D">
              <w:tc>
                <w:tcPr>
                  <w:tcW w:w="3490" w:type="dxa"/>
                </w:tcPr>
                <w:p w:rsidR="008F662C" w:rsidRDefault="000E3EB9" w:rsidP="004D564D">
                  <w:pPr>
                    <w:pStyle w:val="ListParagraph"/>
                    <w:ind w:left="0" w:right="-180"/>
                    <w:rPr>
                      <w:szCs w:val="24"/>
                    </w:rPr>
                  </w:pPr>
                  <w:r>
                    <w:rPr>
                      <w:szCs w:val="24"/>
                    </w:rPr>
                    <w:t>Rachel Soto, HECC</w:t>
                  </w:r>
                  <w:r w:rsidR="008F662C">
                    <w:rPr>
                      <w:szCs w:val="24"/>
                    </w:rPr>
                    <w:t xml:space="preserve"> (phone)</w:t>
                  </w:r>
                </w:p>
                <w:p w:rsidR="008F662C" w:rsidRDefault="008F662C" w:rsidP="008F662C">
                  <w:pPr>
                    <w:pStyle w:val="ListParagraph"/>
                    <w:ind w:left="0" w:right="-180"/>
                    <w:rPr>
                      <w:szCs w:val="24"/>
                    </w:rPr>
                  </w:pPr>
                  <w:r>
                    <w:rPr>
                      <w:szCs w:val="24"/>
                    </w:rPr>
                    <w:t xml:space="preserve">John Chamberlain, </w:t>
                  </w:r>
                </w:p>
                <w:p w:rsidR="000E3EB9" w:rsidRDefault="008F662C" w:rsidP="008F662C">
                  <w:pPr>
                    <w:pStyle w:val="ListParagraph"/>
                    <w:ind w:left="0" w:right="-180"/>
                    <w:rPr>
                      <w:szCs w:val="24"/>
                    </w:rPr>
                  </w:pPr>
                  <w:r>
                    <w:rPr>
                      <w:szCs w:val="24"/>
                    </w:rPr>
                    <w:t>Kale Donnelly, OED</w:t>
                  </w:r>
                </w:p>
                <w:p w:rsidR="008F662C" w:rsidRDefault="008F662C" w:rsidP="008F662C">
                  <w:pPr>
                    <w:pStyle w:val="ListParagraph"/>
                    <w:ind w:left="0" w:right="-180"/>
                    <w:rPr>
                      <w:szCs w:val="24"/>
                    </w:rPr>
                  </w:pPr>
                  <w:r>
                    <w:rPr>
                      <w:szCs w:val="24"/>
                    </w:rPr>
                    <w:t>Curry Commissioner Court Boice</w:t>
                  </w:r>
                </w:p>
              </w:tc>
              <w:tc>
                <w:tcPr>
                  <w:tcW w:w="3422" w:type="dxa"/>
                </w:tcPr>
                <w:p w:rsidR="008F662C" w:rsidRDefault="008F662C" w:rsidP="008F662C">
                  <w:pPr>
                    <w:pStyle w:val="ListParagraph"/>
                    <w:ind w:left="0" w:right="-180"/>
                    <w:rPr>
                      <w:szCs w:val="24"/>
                    </w:rPr>
                  </w:pPr>
                  <w:r>
                    <w:rPr>
                      <w:szCs w:val="24"/>
                    </w:rPr>
                    <w:t xml:space="preserve">Karen </w:t>
                  </w:r>
                  <w:proofErr w:type="spellStart"/>
                  <w:r>
                    <w:rPr>
                      <w:szCs w:val="24"/>
                    </w:rPr>
                    <w:t>Humelbaugh</w:t>
                  </w:r>
                  <w:proofErr w:type="spellEnd"/>
                </w:p>
                <w:p w:rsidR="008F662C" w:rsidRDefault="008F662C" w:rsidP="008F662C">
                  <w:pPr>
                    <w:pStyle w:val="ListParagraph"/>
                    <w:ind w:left="0" w:right="-180"/>
                    <w:rPr>
                      <w:szCs w:val="24"/>
                    </w:rPr>
                  </w:pPr>
                  <w:r>
                    <w:rPr>
                      <w:szCs w:val="24"/>
                    </w:rPr>
                    <w:t xml:space="preserve">Melissa Metz, SCBEC </w:t>
                  </w:r>
                </w:p>
                <w:p w:rsidR="008F662C" w:rsidRDefault="008F662C" w:rsidP="008F662C">
                  <w:pPr>
                    <w:pStyle w:val="ListParagraph"/>
                    <w:ind w:left="0" w:right="-180"/>
                    <w:rPr>
                      <w:szCs w:val="24"/>
                    </w:rPr>
                  </w:pPr>
                  <w:r>
                    <w:rPr>
                      <w:szCs w:val="24"/>
                    </w:rPr>
                    <w:t>Annette Shelton-</w:t>
                  </w:r>
                  <w:proofErr w:type="spellStart"/>
                  <w:r>
                    <w:rPr>
                      <w:szCs w:val="24"/>
                    </w:rPr>
                    <w:t>Tiderman</w:t>
                  </w:r>
                  <w:proofErr w:type="spellEnd"/>
                  <w:r>
                    <w:rPr>
                      <w:szCs w:val="24"/>
                    </w:rPr>
                    <w:t>, OED</w:t>
                  </w:r>
                </w:p>
                <w:p w:rsidR="008D6E38" w:rsidRDefault="008D6E38" w:rsidP="008F662C">
                  <w:pPr>
                    <w:pStyle w:val="ListParagraph"/>
                    <w:ind w:left="0" w:right="-180"/>
                    <w:rPr>
                      <w:szCs w:val="24"/>
                    </w:rPr>
                  </w:pPr>
                </w:p>
              </w:tc>
              <w:tc>
                <w:tcPr>
                  <w:tcW w:w="2522" w:type="dxa"/>
                </w:tcPr>
                <w:p w:rsidR="008F662C" w:rsidRDefault="008F662C" w:rsidP="008F662C">
                  <w:pPr>
                    <w:pStyle w:val="ListParagraph"/>
                    <w:ind w:left="0" w:right="-180"/>
                    <w:rPr>
                      <w:szCs w:val="24"/>
                    </w:rPr>
                  </w:pPr>
                  <w:r>
                    <w:rPr>
                      <w:szCs w:val="24"/>
                    </w:rPr>
                    <w:t xml:space="preserve">Jim </w:t>
                  </w:r>
                  <w:proofErr w:type="spellStart"/>
                  <w:r>
                    <w:rPr>
                      <w:szCs w:val="24"/>
                    </w:rPr>
                    <w:t>Pfarrer</w:t>
                  </w:r>
                  <w:proofErr w:type="spellEnd"/>
                  <w:r>
                    <w:rPr>
                      <w:szCs w:val="24"/>
                    </w:rPr>
                    <w:t>, OED</w:t>
                  </w:r>
                </w:p>
                <w:p w:rsidR="008F662C" w:rsidRDefault="008F662C" w:rsidP="008F662C">
                  <w:pPr>
                    <w:pStyle w:val="ListParagraph"/>
                    <w:ind w:left="0" w:right="-180"/>
                    <w:rPr>
                      <w:szCs w:val="24"/>
                    </w:rPr>
                  </w:pPr>
                  <w:r>
                    <w:rPr>
                      <w:szCs w:val="24"/>
                    </w:rPr>
                    <w:t>Rena Langston, UT&amp;E</w:t>
                  </w:r>
                </w:p>
                <w:p w:rsidR="000E3EB9" w:rsidRDefault="008F662C" w:rsidP="004D564D">
                  <w:pPr>
                    <w:pStyle w:val="ListParagraph"/>
                    <w:ind w:left="0" w:right="-180"/>
                    <w:rPr>
                      <w:szCs w:val="24"/>
                    </w:rPr>
                  </w:pPr>
                  <w:r>
                    <w:rPr>
                      <w:szCs w:val="24"/>
                    </w:rPr>
                    <w:t>Susan Buell, UT&amp;E</w:t>
                  </w:r>
                </w:p>
              </w:tc>
            </w:tr>
            <w:tr w:rsidR="000E3EB9" w:rsidTr="004D564D">
              <w:tc>
                <w:tcPr>
                  <w:tcW w:w="3490" w:type="dxa"/>
                </w:tcPr>
                <w:p w:rsidR="008D6E38" w:rsidRDefault="008D6E38" w:rsidP="004D564D">
                  <w:pPr>
                    <w:pStyle w:val="ListParagraph"/>
                    <w:ind w:left="0" w:right="-180"/>
                    <w:rPr>
                      <w:szCs w:val="24"/>
                    </w:rPr>
                  </w:pPr>
                </w:p>
              </w:tc>
              <w:tc>
                <w:tcPr>
                  <w:tcW w:w="3422" w:type="dxa"/>
                </w:tcPr>
                <w:p w:rsidR="008D6E38" w:rsidRDefault="008D6E38" w:rsidP="008F662C">
                  <w:pPr>
                    <w:pStyle w:val="ListParagraph"/>
                    <w:ind w:left="0" w:right="-180"/>
                    <w:rPr>
                      <w:szCs w:val="24"/>
                    </w:rPr>
                  </w:pPr>
                </w:p>
              </w:tc>
              <w:tc>
                <w:tcPr>
                  <w:tcW w:w="2522" w:type="dxa"/>
                </w:tcPr>
                <w:p w:rsidR="000E3EB9" w:rsidRDefault="000E3EB9" w:rsidP="004D564D">
                  <w:pPr>
                    <w:pStyle w:val="ListParagraph"/>
                    <w:ind w:left="0" w:right="-180"/>
                    <w:rPr>
                      <w:szCs w:val="24"/>
                    </w:rPr>
                  </w:pPr>
                </w:p>
              </w:tc>
            </w:tr>
            <w:tr w:rsidR="008F662C" w:rsidTr="004D564D">
              <w:tc>
                <w:tcPr>
                  <w:tcW w:w="3490" w:type="dxa"/>
                </w:tcPr>
                <w:p w:rsidR="008F662C" w:rsidRDefault="008F662C" w:rsidP="004D564D">
                  <w:pPr>
                    <w:pStyle w:val="ListParagraph"/>
                    <w:ind w:left="0" w:right="-180"/>
                    <w:rPr>
                      <w:szCs w:val="24"/>
                    </w:rPr>
                  </w:pPr>
                </w:p>
              </w:tc>
              <w:tc>
                <w:tcPr>
                  <w:tcW w:w="3422" w:type="dxa"/>
                </w:tcPr>
                <w:p w:rsidR="008F662C" w:rsidRDefault="008F662C" w:rsidP="008F662C">
                  <w:pPr>
                    <w:pStyle w:val="ListParagraph"/>
                    <w:ind w:left="0" w:right="-180"/>
                    <w:rPr>
                      <w:szCs w:val="24"/>
                    </w:rPr>
                  </w:pPr>
                </w:p>
              </w:tc>
              <w:tc>
                <w:tcPr>
                  <w:tcW w:w="2522" w:type="dxa"/>
                </w:tcPr>
                <w:p w:rsidR="008F662C" w:rsidRDefault="008F662C" w:rsidP="004D564D">
                  <w:pPr>
                    <w:pStyle w:val="ListParagraph"/>
                    <w:ind w:left="0" w:right="-180"/>
                    <w:rPr>
                      <w:szCs w:val="24"/>
                    </w:rPr>
                  </w:pPr>
                </w:p>
              </w:tc>
            </w:tr>
          </w:tbl>
          <w:p w:rsidR="000E3EB9" w:rsidRPr="006C7D98" w:rsidRDefault="000E3EB9" w:rsidP="008F662C">
            <w:pPr>
              <w:pStyle w:val="ListParagraph"/>
              <w:ind w:left="0" w:right="-180"/>
              <w:rPr>
                <w:b/>
                <w:sz w:val="16"/>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3EB9" w:rsidRPr="00A06D23" w:rsidTr="004D564D">
        <w:tc>
          <w:tcPr>
            <w:tcW w:w="9350" w:type="dxa"/>
          </w:tcPr>
          <w:p w:rsidR="000E3EB9" w:rsidRPr="00A06D23" w:rsidRDefault="000E3EB9" w:rsidP="004D564D">
            <w:pPr>
              <w:rPr>
                <w:b/>
                <w:u w:val="single"/>
              </w:rPr>
            </w:pPr>
            <w:r w:rsidRPr="00A06D23">
              <w:rPr>
                <w:b/>
                <w:u w:val="single"/>
              </w:rPr>
              <w:t>AGENDA</w:t>
            </w:r>
          </w:p>
          <w:p w:rsidR="000E3EB9" w:rsidRPr="00A06D23" w:rsidRDefault="000E3EB9" w:rsidP="004D564D">
            <w:pPr>
              <w:rPr>
                <w:b/>
                <w:sz w:val="16"/>
              </w:rPr>
            </w:pPr>
          </w:p>
          <w:p w:rsidR="000E3EB9" w:rsidRDefault="000E3EB9" w:rsidP="004D564D">
            <w:pPr>
              <w:numPr>
                <w:ilvl w:val="0"/>
                <w:numId w:val="1"/>
              </w:numPr>
              <w:ind w:left="0" w:right="-180" w:hanging="720"/>
              <w:contextualSpacing/>
              <w:rPr>
                <w:szCs w:val="24"/>
              </w:rPr>
            </w:pPr>
            <w:r w:rsidRPr="00A06D23">
              <w:rPr>
                <w:szCs w:val="24"/>
              </w:rPr>
              <w:t>Call to Order and Confirmation of Quorum</w:t>
            </w:r>
          </w:p>
          <w:p w:rsidR="000E3EB9" w:rsidRDefault="005A01DF" w:rsidP="004D564D">
            <w:pPr>
              <w:numPr>
                <w:ilvl w:val="0"/>
                <w:numId w:val="1"/>
              </w:numPr>
              <w:ind w:left="0" w:right="-180" w:hanging="720"/>
              <w:contextualSpacing/>
              <w:rPr>
                <w:szCs w:val="24"/>
              </w:rPr>
            </w:pPr>
            <w:r>
              <w:rPr>
                <w:szCs w:val="24"/>
              </w:rPr>
              <w:t xml:space="preserve">Round table introductions </w:t>
            </w:r>
            <w:r w:rsidR="000E3EB9" w:rsidRPr="00A06D23">
              <w:rPr>
                <w:szCs w:val="24"/>
              </w:rPr>
              <w:t>and a quorum was present.</w:t>
            </w:r>
          </w:p>
          <w:p w:rsidR="005A01DF" w:rsidRDefault="005A01DF" w:rsidP="005A01DF">
            <w:pPr>
              <w:ind w:right="-180"/>
              <w:contextualSpacing/>
              <w:rPr>
                <w:szCs w:val="24"/>
              </w:rPr>
            </w:pPr>
          </w:p>
          <w:p w:rsidR="005A01DF" w:rsidRDefault="005A01DF" w:rsidP="005A01DF">
            <w:pPr>
              <w:ind w:right="-180"/>
              <w:contextualSpacing/>
              <w:rPr>
                <w:szCs w:val="24"/>
              </w:rPr>
            </w:pPr>
            <w:r>
              <w:rPr>
                <w:szCs w:val="24"/>
              </w:rPr>
              <w:t xml:space="preserve">Public Comment Session:  </w:t>
            </w:r>
          </w:p>
          <w:p w:rsidR="005A01DF" w:rsidRDefault="00EF7670" w:rsidP="005A01DF">
            <w:pPr>
              <w:ind w:right="-180"/>
              <w:contextualSpacing/>
              <w:rPr>
                <w:szCs w:val="24"/>
              </w:rPr>
            </w:pPr>
            <w:r>
              <w:rPr>
                <w:szCs w:val="24"/>
              </w:rPr>
              <w:t>President of UT&amp;E</w:t>
            </w:r>
            <w:r w:rsidR="006373E6">
              <w:rPr>
                <w:szCs w:val="24"/>
              </w:rPr>
              <w:t>,</w:t>
            </w:r>
            <w:r>
              <w:rPr>
                <w:szCs w:val="24"/>
              </w:rPr>
              <w:t xml:space="preserve"> Susan Buell</w:t>
            </w:r>
            <w:r w:rsidR="00137478">
              <w:rPr>
                <w:szCs w:val="24"/>
              </w:rPr>
              <w:t xml:space="preserve"> explained </w:t>
            </w:r>
            <w:r>
              <w:rPr>
                <w:szCs w:val="24"/>
              </w:rPr>
              <w:t xml:space="preserve">that her board </w:t>
            </w:r>
            <w:r w:rsidR="00ED65F5">
              <w:rPr>
                <w:szCs w:val="24"/>
              </w:rPr>
              <w:t xml:space="preserve">was very unhappy </w:t>
            </w:r>
            <w:r w:rsidR="00727C5F">
              <w:rPr>
                <w:szCs w:val="24"/>
              </w:rPr>
              <w:t>about</w:t>
            </w:r>
            <w:r w:rsidR="00ED65F5">
              <w:rPr>
                <w:szCs w:val="24"/>
              </w:rPr>
              <w:t xml:space="preserve"> not being included in the </w:t>
            </w:r>
            <w:r>
              <w:rPr>
                <w:szCs w:val="24"/>
              </w:rPr>
              <w:t xml:space="preserve">one-stop </w:t>
            </w:r>
            <w:r w:rsidR="00ED65F5">
              <w:rPr>
                <w:szCs w:val="24"/>
              </w:rPr>
              <w:t xml:space="preserve">colocation </w:t>
            </w:r>
            <w:r>
              <w:rPr>
                <w:szCs w:val="24"/>
              </w:rPr>
              <w:t xml:space="preserve">decision which is why they submitted the Title I proposal refusing to collocate at the </w:t>
            </w:r>
            <w:proofErr w:type="spellStart"/>
            <w:r>
              <w:rPr>
                <w:szCs w:val="24"/>
              </w:rPr>
              <w:t>WorkSource</w:t>
            </w:r>
            <w:proofErr w:type="spellEnd"/>
            <w:r>
              <w:rPr>
                <w:szCs w:val="24"/>
              </w:rPr>
              <w:t xml:space="preserve"> Douglas location</w:t>
            </w:r>
            <w:r w:rsidR="00ED65F5">
              <w:rPr>
                <w:szCs w:val="24"/>
              </w:rPr>
              <w:t xml:space="preserve">. </w:t>
            </w:r>
          </w:p>
          <w:p w:rsidR="00654C0D" w:rsidRDefault="00654C0D" w:rsidP="005A01DF">
            <w:pPr>
              <w:ind w:right="-180"/>
              <w:contextualSpacing/>
              <w:rPr>
                <w:szCs w:val="24"/>
              </w:rPr>
            </w:pPr>
          </w:p>
          <w:p w:rsidR="00654C0D" w:rsidRDefault="00654C0D" w:rsidP="005A01DF">
            <w:pPr>
              <w:ind w:right="-180"/>
              <w:contextualSpacing/>
              <w:rPr>
                <w:szCs w:val="24"/>
              </w:rPr>
            </w:pPr>
            <w:r>
              <w:rPr>
                <w:szCs w:val="24"/>
              </w:rPr>
              <w:t xml:space="preserve">Karen </w:t>
            </w:r>
            <w:proofErr w:type="spellStart"/>
            <w:r>
              <w:rPr>
                <w:szCs w:val="24"/>
              </w:rPr>
              <w:t>Humelbaugh</w:t>
            </w:r>
            <w:proofErr w:type="spellEnd"/>
            <w:r>
              <w:rPr>
                <w:szCs w:val="24"/>
              </w:rPr>
              <w:t xml:space="preserve">, Director of Office of Workforce Investments at </w:t>
            </w:r>
            <w:r w:rsidR="00EF7670">
              <w:rPr>
                <w:szCs w:val="24"/>
              </w:rPr>
              <w:t>HECC</w:t>
            </w:r>
            <w:r>
              <w:rPr>
                <w:szCs w:val="24"/>
              </w:rPr>
              <w:t xml:space="preserve"> </w:t>
            </w:r>
            <w:r w:rsidR="00CF07E3">
              <w:rPr>
                <w:szCs w:val="24"/>
              </w:rPr>
              <w:t xml:space="preserve">explained that </w:t>
            </w:r>
            <w:r>
              <w:rPr>
                <w:szCs w:val="24"/>
              </w:rPr>
              <w:t>her office is the recipient of the</w:t>
            </w:r>
            <w:r w:rsidR="00EF7670">
              <w:rPr>
                <w:szCs w:val="24"/>
              </w:rPr>
              <w:t xml:space="preserve"> federal funds received for </w:t>
            </w:r>
            <w:r>
              <w:rPr>
                <w:szCs w:val="24"/>
              </w:rPr>
              <w:t xml:space="preserve">Title I dollars.  </w:t>
            </w:r>
            <w:r w:rsidR="00EF7670">
              <w:rPr>
                <w:szCs w:val="24"/>
              </w:rPr>
              <w:t xml:space="preserve">Although </w:t>
            </w:r>
            <w:r>
              <w:rPr>
                <w:szCs w:val="24"/>
              </w:rPr>
              <w:t xml:space="preserve">Jake </w:t>
            </w:r>
            <w:r w:rsidR="00EF7670">
              <w:rPr>
                <w:szCs w:val="24"/>
              </w:rPr>
              <w:t xml:space="preserve">contacted her requesting </w:t>
            </w:r>
            <w:r>
              <w:rPr>
                <w:szCs w:val="24"/>
              </w:rPr>
              <w:t>a waiver for colocation</w:t>
            </w:r>
            <w:r w:rsidR="00EF7670">
              <w:rPr>
                <w:szCs w:val="24"/>
              </w:rPr>
              <w:t xml:space="preserve">, </w:t>
            </w:r>
            <w:r w:rsidR="00324B0D">
              <w:rPr>
                <w:szCs w:val="24"/>
              </w:rPr>
              <w:t xml:space="preserve">she explained that the deadline had already been extended and the RFP was clear that the entity submitting the proposal would be required to collocate. </w:t>
            </w:r>
            <w:r w:rsidR="00843F54">
              <w:rPr>
                <w:szCs w:val="24"/>
              </w:rPr>
              <w:t xml:space="preserve">Asked what would happen if the board elected not to collocate, Karen said that SOWIB would move into </w:t>
            </w:r>
            <w:r>
              <w:rPr>
                <w:szCs w:val="24"/>
              </w:rPr>
              <w:t xml:space="preserve">a corrective action plan </w:t>
            </w:r>
            <w:r w:rsidR="00C04EC4">
              <w:rPr>
                <w:szCs w:val="24"/>
              </w:rPr>
              <w:t xml:space="preserve">and it would be </w:t>
            </w:r>
            <w:r>
              <w:rPr>
                <w:szCs w:val="24"/>
              </w:rPr>
              <w:t xml:space="preserve">possible that </w:t>
            </w:r>
            <w:r w:rsidR="00C04EC4">
              <w:rPr>
                <w:szCs w:val="24"/>
              </w:rPr>
              <w:t xml:space="preserve">funding would be pulled back until SOWIB </w:t>
            </w:r>
            <w:proofErr w:type="gramStart"/>
            <w:r w:rsidR="00C04EC4">
              <w:rPr>
                <w:szCs w:val="24"/>
              </w:rPr>
              <w:t xml:space="preserve">was </w:t>
            </w:r>
            <w:r>
              <w:rPr>
                <w:szCs w:val="24"/>
              </w:rPr>
              <w:t>in compliance</w:t>
            </w:r>
            <w:proofErr w:type="gramEnd"/>
            <w:r>
              <w:rPr>
                <w:szCs w:val="24"/>
              </w:rPr>
              <w:t xml:space="preserve">.   </w:t>
            </w:r>
          </w:p>
          <w:p w:rsidR="00654C0D" w:rsidRDefault="00654C0D" w:rsidP="005A01DF">
            <w:pPr>
              <w:ind w:right="-180"/>
              <w:contextualSpacing/>
              <w:rPr>
                <w:szCs w:val="24"/>
              </w:rPr>
            </w:pPr>
          </w:p>
          <w:p w:rsidR="00654C0D" w:rsidRDefault="00843F54" w:rsidP="00843F54">
            <w:pPr>
              <w:ind w:right="-180"/>
              <w:contextualSpacing/>
              <w:rPr>
                <w:szCs w:val="24"/>
              </w:rPr>
            </w:pPr>
            <w:r>
              <w:rPr>
                <w:szCs w:val="24"/>
              </w:rPr>
              <w:lastRenderedPageBreak/>
              <w:t xml:space="preserve">Kelly asked why </w:t>
            </w:r>
            <w:r w:rsidR="00CF07E3">
              <w:rPr>
                <w:szCs w:val="24"/>
              </w:rPr>
              <w:t>it</w:t>
            </w:r>
            <w:r w:rsidR="00654C0D">
              <w:rPr>
                <w:szCs w:val="24"/>
              </w:rPr>
              <w:t xml:space="preserve"> </w:t>
            </w:r>
            <w:r>
              <w:rPr>
                <w:szCs w:val="24"/>
              </w:rPr>
              <w:t xml:space="preserve">is so critically important to have collocation and Karen responded </w:t>
            </w:r>
            <w:proofErr w:type="gramStart"/>
            <w:r>
              <w:rPr>
                <w:szCs w:val="24"/>
              </w:rPr>
              <w:t xml:space="preserve">that </w:t>
            </w:r>
            <w:r w:rsidR="00727C5F">
              <w:rPr>
                <w:szCs w:val="24"/>
              </w:rPr>
              <w:t xml:space="preserve"> </w:t>
            </w:r>
            <w:r w:rsidR="00CF07E3">
              <w:rPr>
                <w:szCs w:val="24"/>
              </w:rPr>
              <w:t>the</w:t>
            </w:r>
            <w:proofErr w:type="gramEnd"/>
            <w:r w:rsidR="00CF07E3">
              <w:rPr>
                <w:szCs w:val="24"/>
              </w:rPr>
              <w:t xml:space="preserve"> easiest way to get services to actual individuals is with less infrastructure costs</w:t>
            </w:r>
            <w:r>
              <w:rPr>
                <w:szCs w:val="24"/>
              </w:rPr>
              <w:t xml:space="preserve"> and collocation minimizes those costs</w:t>
            </w:r>
            <w:r w:rsidR="00CF07E3">
              <w:rPr>
                <w:szCs w:val="24"/>
              </w:rPr>
              <w:t xml:space="preserve">. The </w:t>
            </w:r>
            <w:proofErr w:type="spellStart"/>
            <w:r w:rsidR="00654C0D">
              <w:rPr>
                <w:szCs w:val="24"/>
              </w:rPr>
              <w:t>Work</w:t>
            </w:r>
            <w:r w:rsidR="00F96A70">
              <w:rPr>
                <w:szCs w:val="24"/>
              </w:rPr>
              <w:t>S</w:t>
            </w:r>
            <w:r w:rsidR="00654C0D">
              <w:rPr>
                <w:szCs w:val="24"/>
              </w:rPr>
              <w:t>ource</w:t>
            </w:r>
            <w:proofErr w:type="spellEnd"/>
            <w:r w:rsidR="00654C0D">
              <w:rPr>
                <w:szCs w:val="24"/>
              </w:rPr>
              <w:t xml:space="preserve"> Oregon Standards were created</w:t>
            </w:r>
            <w:r w:rsidR="00CF07E3">
              <w:rPr>
                <w:szCs w:val="24"/>
              </w:rPr>
              <w:t xml:space="preserve"> so that </w:t>
            </w:r>
            <w:r>
              <w:rPr>
                <w:szCs w:val="24"/>
              </w:rPr>
              <w:t>every One-Stop Center in Oregon would provide the same level of service</w:t>
            </w:r>
            <w:r w:rsidR="00C04EC4">
              <w:rPr>
                <w:szCs w:val="24"/>
              </w:rPr>
              <w:t xml:space="preserve"> </w:t>
            </w:r>
            <w:r>
              <w:rPr>
                <w:szCs w:val="24"/>
              </w:rPr>
              <w:t>and by including partners in the collocation, the maximum amount of resources</w:t>
            </w:r>
            <w:r w:rsidR="00C04EC4">
              <w:rPr>
                <w:szCs w:val="24"/>
              </w:rPr>
              <w:t xml:space="preserve"> </w:t>
            </w:r>
            <w:proofErr w:type="gramStart"/>
            <w:r w:rsidR="00C04EC4">
              <w:rPr>
                <w:szCs w:val="24"/>
              </w:rPr>
              <w:t>are</w:t>
            </w:r>
            <w:proofErr w:type="gramEnd"/>
            <w:r w:rsidR="00C04EC4">
              <w:rPr>
                <w:szCs w:val="24"/>
              </w:rPr>
              <w:t xml:space="preserve"> going </w:t>
            </w:r>
            <w:r w:rsidR="00CF07E3">
              <w:rPr>
                <w:szCs w:val="24"/>
              </w:rPr>
              <w:t xml:space="preserve">into </w:t>
            </w:r>
            <w:r w:rsidR="00C04EC4">
              <w:rPr>
                <w:szCs w:val="24"/>
              </w:rPr>
              <w:t>core-services</w:t>
            </w:r>
            <w:r w:rsidR="00727C5F">
              <w:rPr>
                <w:szCs w:val="24"/>
              </w:rPr>
              <w:t xml:space="preserve">, </w:t>
            </w:r>
            <w:r>
              <w:rPr>
                <w:szCs w:val="24"/>
              </w:rPr>
              <w:t>as well as intensive/</w:t>
            </w:r>
            <w:r w:rsidR="00C04EC4">
              <w:rPr>
                <w:szCs w:val="24"/>
              </w:rPr>
              <w:t>training services</w:t>
            </w:r>
            <w:r w:rsidR="00CF07E3">
              <w:rPr>
                <w:szCs w:val="24"/>
              </w:rPr>
              <w:t xml:space="preserve">. </w:t>
            </w:r>
            <w:r w:rsidR="00C04EC4">
              <w:rPr>
                <w:szCs w:val="24"/>
              </w:rPr>
              <w:t xml:space="preserve"> </w:t>
            </w:r>
          </w:p>
          <w:p w:rsidR="00727C5F" w:rsidRDefault="00727C5F" w:rsidP="005A01DF">
            <w:pPr>
              <w:ind w:right="-180"/>
              <w:contextualSpacing/>
              <w:rPr>
                <w:szCs w:val="24"/>
              </w:rPr>
            </w:pPr>
          </w:p>
          <w:p w:rsidR="00727C5F" w:rsidRDefault="00727C5F" w:rsidP="005A01DF">
            <w:pPr>
              <w:ind w:right="-180"/>
              <w:contextualSpacing/>
              <w:rPr>
                <w:szCs w:val="24"/>
              </w:rPr>
            </w:pPr>
            <w:r>
              <w:rPr>
                <w:szCs w:val="24"/>
              </w:rPr>
              <w:t xml:space="preserve">Kelly </w:t>
            </w:r>
            <w:r w:rsidR="002A0887">
              <w:rPr>
                <w:szCs w:val="24"/>
              </w:rPr>
              <w:t xml:space="preserve">asked </w:t>
            </w:r>
            <w:r w:rsidR="006373E6">
              <w:rPr>
                <w:szCs w:val="24"/>
              </w:rPr>
              <w:t>if</w:t>
            </w:r>
            <w:r>
              <w:rPr>
                <w:szCs w:val="24"/>
              </w:rPr>
              <w:t xml:space="preserve"> </w:t>
            </w:r>
            <w:r w:rsidR="00B33A3B">
              <w:rPr>
                <w:szCs w:val="24"/>
              </w:rPr>
              <w:t xml:space="preserve">the only option for collocation </w:t>
            </w:r>
            <w:r w:rsidR="006373E6">
              <w:rPr>
                <w:szCs w:val="24"/>
              </w:rPr>
              <w:t>is</w:t>
            </w:r>
            <w:r w:rsidR="00B33A3B">
              <w:rPr>
                <w:szCs w:val="24"/>
              </w:rPr>
              <w:t xml:space="preserve"> the</w:t>
            </w:r>
            <w:r>
              <w:rPr>
                <w:szCs w:val="24"/>
              </w:rPr>
              <w:t xml:space="preserve"> current building owned </w:t>
            </w:r>
            <w:r w:rsidR="006373E6">
              <w:rPr>
                <w:szCs w:val="24"/>
              </w:rPr>
              <w:t>by the state, or</w:t>
            </w:r>
            <w:r w:rsidR="00826B99">
              <w:rPr>
                <w:szCs w:val="24"/>
              </w:rPr>
              <w:t xml:space="preserve"> </w:t>
            </w:r>
            <w:r w:rsidR="00B33A3B">
              <w:rPr>
                <w:szCs w:val="24"/>
              </w:rPr>
              <w:t>could the board select another location?</w:t>
            </w:r>
            <w:r w:rsidR="00826B99">
              <w:rPr>
                <w:szCs w:val="24"/>
              </w:rPr>
              <w:t xml:space="preserve"> </w:t>
            </w:r>
          </w:p>
          <w:p w:rsidR="00826B99" w:rsidRDefault="00826B99" w:rsidP="005A01DF">
            <w:pPr>
              <w:ind w:right="-180"/>
              <w:contextualSpacing/>
              <w:rPr>
                <w:szCs w:val="24"/>
              </w:rPr>
            </w:pPr>
          </w:p>
          <w:p w:rsidR="00B33A3B" w:rsidRDefault="00826B99" w:rsidP="005A01DF">
            <w:pPr>
              <w:ind w:right="-180"/>
              <w:contextualSpacing/>
              <w:rPr>
                <w:szCs w:val="24"/>
              </w:rPr>
            </w:pPr>
            <w:r>
              <w:rPr>
                <w:szCs w:val="24"/>
              </w:rPr>
              <w:t xml:space="preserve">Jim </w:t>
            </w:r>
            <w:proofErr w:type="spellStart"/>
            <w:r>
              <w:rPr>
                <w:szCs w:val="24"/>
              </w:rPr>
              <w:t>Pfarrer</w:t>
            </w:r>
            <w:proofErr w:type="spellEnd"/>
            <w:r>
              <w:rPr>
                <w:szCs w:val="24"/>
              </w:rPr>
              <w:t>, Division Director for the Workforce Operation</w:t>
            </w:r>
            <w:r w:rsidR="00544D3C">
              <w:rPr>
                <w:szCs w:val="24"/>
              </w:rPr>
              <w:t xml:space="preserve">s at the Employment Department stated </w:t>
            </w:r>
            <w:r w:rsidR="00B33A3B">
              <w:rPr>
                <w:szCs w:val="24"/>
              </w:rPr>
              <w:t>there are substantial issues with moving to</w:t>
            </w:r>
            <w:r w:rsidR="006373E6">
              <w:rPr>
                <w:szCs w:val="24"/>
              </w:rPr>
              <w:t xml:space="preserve"> another location at this point:</w:t>
            </w:r>
          </w:p>
          <w:p w:rsidR="00B33A3B" w:rsidRDefault="00B33A3B" w:rsidP="005A01DF">
            <w:pPr>
              <w:ind w:right="-180"/>
              <w:contextualSpacing/>
              <w:rPr>
                <w:szCs w:val="24"/>
              </w:rPr>
            </w:pPr>
          </w:p>
          <w:p w:rsidR="00B33A3B" w:rsidRDefault="00B33A3B" w:rsidP="00B33A3B">
            <w:pPr>
              <w:pStyle w:val="ListParagraph"/>
              <w:numPr>
                <w:ilvl w:val="0"/>
                <w:numId w:val="3"/>
              </w:numPr>
              <w:ind w:right="-180"/>
              <w:rPr>
                <w:szCs w:val="24"/>
              </w:rPr>
            </w:pPr>
            <w:r>
              <w:rPr>
                <w:szCs w:val="24"/>
              </w:rPr>
              <w:t xml:space="preserve">The state has owned the Pine St building since the 50’s and the cost is currently $.40 per sf. Although they have been searching since 2010, they have not found a suitable building in Douglas County for less than $1.40/$1.60 per sf. </w:t>
            </w:r>
          </w:p>
          <w:p w:rsidR="00B33A3B" w:rsidRDefault="00B33A3B" w:rsidP="00B33A3B">
            <w:pPr>
              <w:pStyle w:val="ListParagraph"/>
              <w:numPr>
                <w:ilvl w:val="0"/>
                <w:numId w:val="3"/>
              </w:numPr>
              <w:ind w:right="-180"/>
              <w:rPr>
                <w:szCs w:val="24"/>
              </w:rPr>
            </w:pPr>
            <w:r>
              <w:rPr>
                <w:szCs w:val="24"/>
              </w:rPr>
              <w:t>If they sell the building, 40% goes directly back to the Feds since they originally bought the building. The remaining dollars have strict funding options and cannot be used for a lease at a different site.</w:t>
            </w:r>
          </w:p>
          <w:p w:rsidR="00B33A3B" w:rsidRDefault="00B33A3B" w:rsidP="00B33A3B">
            <w:pPr>
              <w:pStyle w:val="ListParagraph"/>
              <w:numPr>
                <w:ilvl w:val="0"/>
                <w:numId w:val="3"/>
              </w:numPr>
              <w:ind w:right="-180"/>
              <w:rPr>
                <w:szCs w:val="24"/>
              </w:rPr>
            </w:pPr>
            <w:r>
              <w:rPr>
                <w:szCs w:val="24"/>
              </w:rPr>
              <w:t xml:space="preserve">If staff were to move to a different collocated facility, at least 51% of the staff </w:t>
            </w:r>
            <w:proofErr w:type="gramStart"/>
            <w:r>
              <w:rPr>
                <w:szCs w:val="24"/>
              </w:rPr>
              <w:t>has to</w:t>
            </w:r>
            <w:proofErr w:type="gramEnd"/>
            <w:r>
              <w:rPr>
                <w:szCs w:val="24"/>
              </w:rPr>
              <w:t xml:space="preserve"> rem</w:t>
            </w:r>
            <w:r w:rsidR="006373E6">
              <w:rPr>
                <w:szCs w:val="24"/>
              </w:rPr>
              <w:t>ain in the current building as Employment S</w:t>
            </w:r>
            <w:r>
              <w:rPr>
                <w:szCs w:val="24"/>
              </w:rPr>
              <w:t xml:space="preserve">ervices staff, otherwise the building must be put up for sale.  </w:t>
            </w:r>
          </w:p>
          <w:p w:rsidR="00B33A3B" w:rsidRDefault="00324B0D" w:rsidP="00B33A3B">
            <w:pPr>
              <w:pStyle w:val="ListParagraph"/>
              <w:numPr>
                <w:ilvl w:val="0"/>
                <w:numId w:val="3"/>
              </w:numPr>
              <w:ind w:right="-180"/>
              <w:rPr>
                <w:szCs w:val="24"/>
              </w:rPr>
            </w:pPr>
            <w:r>
              <w:rPr>
                <w:szCs w:val="24"/>
              </w:rPr>
              <w:t>It is not fea</w:t>
            </w:r>
            <w:r w:rsidR="006373E6">
              <w:rPr>
                <w:szCs w:val="24"/>
              </w:rPr>
              <w:t>sible to put just one Employment S</w:t>
            </w:r>
            <w:r>
              <w:rPr>
                <w:szCs w:val="24"/>
              </w:rPr>
              <w:t>ervices staff at a different collocated facility because services suffer at both locations. This is currently happening in Medford and most likely the second location housing the service provider</w:t>
            </w:r>
            <w:r w:rsidR="007B767F">
              <w:rPr>
                <w:szCs w:val="24"/>
              </w:rPr>
              <w:t xml:space="preserve"> will be merging into the state-</w:t>
            </w:r>
            <w:r>
              <w:rPr>
                <w:szCs w:val="24"/>
              </w:rPr>
              <w:t xml:space="preserve">owned building. </w:t>
            </w:r>
          </w:p>
          <w:p w:rsidR="00B33A3B" w:rsidRDefault="00B33A3B" w:rsidP="00B33A3B">
            <w:pPr>
              <w:ind w:right="-180"/>
              <w:rPr>
                <w:szCs w:val="24"/>
              </w:rPr>
            </w:pPr>
          </w:p>
          <w:p w:rsidR="00B33A3B" w:rsidRDefault="00B33A3B" w:rsidP="00B33A3B">
            <w:pPr>
              <w:ind w:right="-180"/>
              <w:rPr>
                <w:szCs w:val="24"/>
              </w:rPr>
            </w:pPr>
          </w:p>
          <w:p w:rsidR="00DE6851" w:rsidRDefault="00DE6851" w:rsidP="00095A7E">
            <w:pPr>
              <w:ind w:right="-180"/>
              <w:contextualSpacing/>
              <w:rPr>
                <w:szCs w:val="24"/>
              </w:rPr>
            </w:pPr>
            <w:r>
              <w:rPr>
                <w:szCs w:val="24"/>
              </w:rPr>
              <w:t xml:space="preserve">Kelly asked Jake to read a letter that Douglas County Commissioner Chris Boice asked to have read into the record in his absence.  </w:t>
            </w:r>
            <w:r w:rsidR="008C4D0A">
              <w:rPr>
                <w:szCs w:val="24"/>
              </w:rPr>
              <w:t>He proposed that the board back out of the RFP process, extend the current contracts for 6 months and create an opportunity to revisit the process.</w:t>
            </w:r>
          </w:p>
          <w:p w:rsidR="00DE6851" w:rsidRDefault="00DE6851" w:rsidP="00095A7E">
            <w:pPr>
              <w:ind w:right="-180"/>
              <w:contextualSpacing/>
              <w:rPr>
                <w:szCs w:val="24"/>
              </w:rPr>
            </w:pPr>
          </w:p>
          <w:p w:rsidR="00DE6851" w:rsidRDefault="00DE6851" w:rsidP="00095A7E">
            <w:pPr>
              <w:ind w:right="-180"/>
              <w:contextualSpacing/>
              <w:rPr>
                <w:szCs w:val="24"/>
              </w:rPr>
            </w:pPr>
            <w:r>
              <w:rPr>
                <w:szCs w:val="24"/>
              </w:rPr>
              <w:t>John Chamberlain</w:t>
            </w:r>
            <w:r w:rsidR="008C4D0A">
              <w:rPr>
                <w:szCs w:val="24"/>
              </w:rPr>
              <w:t xml:space="preserve"> stated that </w:t>
            </w:r>
            <w:r w:rsidR="007B767F">
              <w:rPr>
                <w:szCs w:val="24"/>
              </w:rPr>
              <w:t>t</w:t>
            </w:r>
            <w:r w:rsidR="00F3195F">
              <w:rPr>
                <w:szCs w:val="24"/>
              </w:rPr>
              <w:t xml:space="preserve">he deadline to comply </w:t>
            </w:r>
            <w:r w:rsidR="007B767F">
              <w:rPr>
                <w:szCs w:val="24"/>
              </w:rPr>
              <w:t>with WIOA colocation requirements was July 1, 2015 but the s</w:t>
            </w:r>
            <w:r w:rsidR="00F3195F">
              <w:rPr>
                <w:szCs w:val="24"/>
              </w:rPr>
              <w:t>tate offered exte</w:t>
            </w:r>
            <w:r w:rsidR="00C61314">
              <w:rPr>
                <w:szCs w:val="24"/>
              </w:rPr>
              <w:t>nsions until July 1, 2017.</w:t>
            </w:r>
            <w:r w:rsidR="007B767F">
              <w:rPr>
                <w:szCs w:val="24"/>
              </w:rPr>
              <w:t xml:space="preserve"> Karen has already stated that there will be no more extensions. Commissioner </w:t>
            </w:r>
            <w:proofErr w:type="spellStart"/>
            <w:r w:rsidR="007B767F">
              <w:rPr>
                <w:szCs w:val="24"/>
              </w:rPr>
              <w:t>Boice’s</w:t>
            </w:r>
            <w:proofErr w:type="spellEnd"/>
            <w:r w:rsidR="007B767F">
              <w:rPr>
                <w:szCs w:val="24"/>
              </w:rPr>
              <w:t xml:space="preserve"> option of canceling</w:t>
            </w:r>
            <w:r w:rsidR="00A35B6E">
              <w:rPr>
                <w:szCs w:val="24"/>
              </w:rPr>
              <w:t xml:space="preserve"> the RFP</w:t>
            </w:r>
            <w:r w:rsidR="007B767F">
              <w:rPr>
                <w:szCs w:val="24"/>
              </w:rPr>
              <w:t xml:space="preserve"> is an option, but if not collocated by July 1, 2017, SOWIB will be out of compliance</w:t>
            </w:r>
            <w:r w:rsidR="00A35B6E">
              <w:rPr>
                <w:szCs w:val="24"/>
              </w:rPr>
              <w:t xml:space="preserve">. </w:t>
            </w:r>
            <w:r w:rsidR="00F3195F">
              <w:rPr>
                <w:szCs w:val="24"/>
              </w:rPr>
              <w:t xml:space="preserve"> </w:t>
            </w:r>
            <w:r w:rsidR="008C4D0A">
              <w:rPr>
                <w:szCs w:val="24"/>
              </w:rPr>
              <w:t xml:space="preserve"> </w:t>
            </w:r>
          </w:p>
          <w:p w:rsidR="00095A7E" w:rsidRPr="00A06D23" w:rsidRDefault="00095A7E" w:rsidP="00155C30">
            <w:pPr>
              <w:ind w:right="-180"/>
              <w:contextualSpacing/>
              <w:rPr>
                <w:sz w:val="16"/>
                <w:szCs w:val="24"/>
              </w:rPr>
            </w:pPr>
          </w:p>
        </w:tc>
      </w:tr>
    </w:tbl>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3EB9" w:rsidRPr="00A06D23" w:rsidTr="004D564D">
        <w:trPr>
          <w:trHeight w:val="476"/>
        </w:trPr>
        <w:tc>
          <w:tcPr>
            <w:tcW w:w="9350" w:type="dxa"/>
            <w:tcBorders>
              <w:bottom w:val="single" w:sz="12" w:space="0" w:color="4472C4" w:themeColor="accent1"/>
            </w:tcBorders>
            <w:vAlign w:val="center"/>
          </w:tcPr>
          <w:p w:rsidR="000E3EB9" w:rsidRPr="00A06D23" w:rsidRDefault="000E3EB9" w:rsidP="004D564D">
            <w:pPr>
              <w:rPr>
                <w:color w:val="0070C0"/>
              </w:rPr>
            </w:pPr>
            <w:r w:rsidRPr="00A06D23">
              <w:rPr>
                <w:color w:val="0070C0"/>
              </w:rPr>
              <w:lastRenderedPageBreak/>
              <w:t>BOARD ACTION ITEMS</w:t>
            </w:r>
          </w:p>
        </w:tc>
      </w:tr>
    </w:tbl>
    <w:p w:rsidR="00B569F7" w:rsidRDefault="00B569F7" w:rsidP="00B569F7">
      <w:pPr>
        <w:ind w:right="-180"/>
        <w:contextualSpacing/>
        <w:rPr>
          <w:b/>
          <w:szCs w:val="24"/>
        </w:rPr>
      </w:pPr>
    </w:p>
    <w:p w:rsidR="00A35B6E" w:rsidRDefault="00A35B6E" w:rsidP="00710DE8">
      <w:pPr>
        <w:ind w:left="90" w:right="-180"/>
        <w:contextualSpacing/>
        <w:rPr>
          <w:szCs w:val="24"/>
        </w:rPr>
      </w:pPr>
      <w:r>
        <w:rPr>
          <w:b/>
          <w:szCs w:val="24"/>
        </w:rPr>
        <w:t xml:space="preserve">INFORMATION:  </w:t>
      </w:r>
      <w:r w:rsidRPr="00A35B6E">
        <w:rPr>
          <w:szCs w:val="24"/>
        </w:rPr>
        <w:t>Overview of the Program Year 2017 Request for Proposals (RFP evaluation process; Jake McClelland &amp; RFP Evaluation Committee</w:t>
      </w:r>
    </w:p>
    <w:p w:rsidR="00DB4236" w:rsidRDefault="00DB4236" w:rsidP="00B569F7">
      <w:pPr>
        <w:ind w:right="-180"/>
        <w:contextualSpacing/>
        <w:rPr>
          <w:szCs w:val="24"/>
        </w:rPr>
      </w:pPr>
    </w:p>
    <w:p w:rsidR="00DB4236" w:rsidRDefault="007B767F" w:rsidP="00710DE8">
      <w:pPr>
        <w:ind w:left="90" w:right="-180"/>
        <w:contextualSpacing/>
        <w:rPr>
          <w:szCs w:val="24"/>
        </w:rPr>
      </w:pPr>
      <w:r>
        <w:rPr>
          <w:szCs w:val="24"/>
        </w:rPr>
        <w:t>The evaluation committee ranked the 3 RFP respondents as follows: SCBEC, ResCare, UT&amp;E</w:t>
      </w:r>
    </w:p>
    <w:p w:rsidR="00DB4236" w:rsidRDefault="007B767F" w:rsidP="00B569F7">
      <w:pPr>
        <w:ind w:right="-180"/>
        <w:contextualSpacing/>
        <w:rPr>
          <w:szCs w:val="24"/>
        </w:rPr>
      </w:pPr>
      <w:r>
        <w:rPr>
          <w:szCs w:val="24"/>
        </w:rPr>
        <w:lastRenderedPageBreak/>
        <w:t xml:space="preserve">Tami raised concern that in the past, SCBEC had performance issues in </w:t>
      </w:r>
      <w:r w:rsidR="00DB4236">
        <w:rPr>
          <w:szCs w:val="24"/>
        </w:rPr>
        <w:t>Curry County</w:t>
      </w:r>
      <w:r>
        <w:rPr>
          <w:szCs w:val="24"/>
        </w:rPr>
        <w:t xml:space="preserve"> and now the board is preparing to extend the contract with them and expand it to all 3 counties</w:t>
      </w:r>
      <w:r w:rsidR="00DC0F80">
        <w:rPr>
          <w:szCs w:val="24"/>
        </w:rPr>
        <w:t xml:space="preserve">. </w:t>
      </w:r>
      <w:r w:rsidR="0042095C">
        <w:rPr>
          <w:szCs w:val="24"/>
        </w:rPr>
        <w:t xml:space="preserve">They have shown that they have struggled in outlying areas and now they will have 2 areas outside of their headquarters in Coos County. In addition, the board would be dismantling a service system that if this organization fails, there will not be any recourse. </w:t>
      </w:r>
    </w:p>
    <w:p w:rsidR="00DC0F80" w:rsidRDefault="00DC0F80" w:rsidP="00B569F7">
      <w:pPr>
        <w:ind w:right="-180"/>
        <w:contextualSpacing/>
        <w:rPr>
          <w:szCs w:val="24"/>
        </w:rPr>
      </w:pPr>
    </w:p>
    <w:p w:rsidR="000826C9" w:rsidRDefault="00DC0F80" w:rsidP="007B767F">
      <w:pPr>
        <w:ind w:right="-180"/>
        <w:contextualSpacing/>
        <w:rPr>
          <w:szCs w:val="24"/>
        </w:rPr>
      </w:pPr>
      <w:r>
        <w:rPr>
          <w:szCs w:val="24"/>
        </w:rPr>
        <w:t xml:space="preserve">Bryan stated that </w:t>
      </w:r>
      <w:r w:rsidR="007B767F">
        <w:rPr>
          <w:szCs w:val="24"/>
        </w:rPr>
        <w:t xml:space="preserve">although their performance was a problem in the past, the results of the last 3 months have been outstanding. </w:t>
      </w:r>
    </w:p>
    <w:p w:rsidR="000826C9" w:rsidRDefault="000826C9" w:rsidP="00B569F7">
      <w:pPr>
        <w:ind w:right="-180"/>
        <w:contextualSpacing/>
        <w:rPr>
          <w:szCs w:val="24"/>
        </w:rPr>
      </w:pPr>
    </w:p>
    <w:p w:rsidR="00806EB5" w:rsidRDefault="00B353ED" w:rsidP="00B569F7">
      <w:pPr>
        <w:ind w:right="-180"/>
        <w:contextualSpacing/>
        <w:rPr>
          <w:szCs w:val="24"/>
        </w:rPr>
      </w:pPr>
      <w:r>
        <w:rPr>
          <w:szCs w:val="24"/>
        </w:rPr>
        <w:t>Tami asked if it was possible to ask UT&amp;E</w:t>
      </w:r>
      <w:r w:rsidR="0042799C">
        <w:rPr>
          <w:szCs w:val="24"/>
        </w:rPr>
        <w:t xml:space="preserve"> if they</w:t>
      </w:r>
      <w:r>
        <w:rPr>
          <w:szCs w:val="24"/>
        </w:rPr>
        <w:t xml:space="preserve"> would </w:t>
      </w:r>
      <w:r w:rsidR="00BB4828">
        <w:rPr>
          <w:szCs w:val="24"/>
        </w:rPr>
        <w:t>reconsider</w:t>
      </w:r>
      <w:r>
        <w:rPr>
          <w:szCs w:val="24"/>
        </w:rPr>
        <w:t xml:space="preserve"> collocating at the Pine St location</w:t>
      </w:r>
      <w:r w:rsidR="00CA1B89">
        <w:rPr>
          <w:szCs w:val="24"/>
        </w:rPr>
        <w:t>, given what has transpired</w:t>
      </w:r>
      <w:r>
        <w:rPr>
          <w:szCs w:val="24"/>
        </w:rPr>
        <w:t xml:space="preserve">. </w:t>
      </w:r>
    </w:p>
    <w:p w:rsidR="00806EB5" w:rsidRDefault="00806EB5" w:rsidP="00B569F7">
      <w:pPr>
        <w:ind w:right="-180"/>
        <w:contextualSpacing/>
        <w:rPr>
          <w:szCs w:val="24"/>
        </w:rPr>
      </w:pPr>
    </w:p>
    <w:p w:rsidR="00806EB5" w:rsidRDefault="00806EB5" w:rsidP="00B569F7">
      <w:pPr>
        <w:ind w:right="-180"/>
        <w:contextualSpacing/>
        <w:rPr>
          <w:szCs w:val="24"/>
        </w:rPr>
      </w:pPr>
      <w:r>
        <w:rPr>
          <w:szCs w:val="24"/>
        </w:rPr>
        <w:t>John</w:t>
      </w:r>
      <w:r w:rsidR="00B353ED">
        <w:rPr>
          <w:szCs w:val="24"/>
        </w:rPr>
        <w:t xml:space="preserve"> stated that SOWIB </w:t>
      </w:r>
      <w:proofErr w:type="gramStart"/>
      <w:r w:rsidR="00B353ED">
        <w:rPr>
          <w:szCs w:val="24"/>
        </w:rPr>
        <w:t>ha</w:t>
      </w:r>
      <w:r w:rsidR="00CA1B89">
        <w:rPr>
          <w:szCs w:val="24"/>
        </w:rPr>
        <w:t>s</w:t>
      </w:r>
      <w:r w:rsidR="00B353ED">
        <w:rPr>
          <w:szCs w:val="24"/>
        </w:rPr>
        <w:t xml:space="preserve"> to</w:t>
      </w:r>
      <w:proofErr w:type="gramEnd"/>
      <w:r w:rsidR="00B353ED">
        <w:rPr>
          <w:szCs w:val="24"/>
        </w:rPr>
        <w:t xml:space="preserve"> follow their own RFP</w:t>
      </w:r>
      <w:r>
        <w:rPr>
          <w:szCs w:val="24"/>
        </w:rPr>
        <w:t xml:space="preserve">. </w:t>
      </w:r>
      <w:r w:rsidR="00B353ED">
        <w:rPr>
          <w:szCs w:val="24"/>
        </w:rPr>
        <w:t xml:space="preserve">An option could be to </w:t>
      </w:r>
      <w:r>
        <w:rPr>
          <w:szCs w:val="24"/>
        </w:rPr>
        <w:t xml:space="preserve">vote to fund the projects in Coos and Curry and award the One-Stop Operator piece for all 3 counties, but </w:t>
      </w:r>
      <w:r w:rsidR="00B353ED">
        <w:rPr>
          <w:szCs w:val="24"/>
        </w:rPr>
        <w:t xml:space="preserve">the board would have to rebid for Douglas County otherwise SOWIB would be </w:t>
      </w:r>
      <w:r w:rsidR="00BB4828">
        <w:rPr>
          <w:szCs w:val="24"/>
        </w:rPr>
        <w:t>violating terms</w:t>
      </w:r>
      <w:r w:rsidR="00B353ED">
        <w:rPr>
          <w:szCs w:val="24"/>
        </w:rPr>
        <w:t xml:space="preserve"> of their own RFP. </w:t>
      </w:r>
      <w:r w:rsidR="00BB4828">
        <w:rPr>
          <w:szCs w:val="24"/>
        </w:rPr>
        <w:t xml:space="preserve">There’s no middle ground. </w:t>
      </w:r>
      <w:r w:rsidR="00CA1B89">
        <w:rPr>
          <w:szCs w:val="24"/>
        </w:rPr>
        <w:t>SOWIB can choose to</w:t>
      </w:r>
      <w:r w:rsidR="00BB4828">
        <w:rPr>
          <w:szCs w:val="24"/>
        </w:rPr>
        <w:t xml:space="preserve"> either cancel the RFP or follow the RFP.</w:t>
      </w:r>
    </w:p>
    <w:p w:rsidR="00B353ED" w:rsidRDefault="00B353ED" w:rsidP="00B569F7">
      <w:pPr>
        <w:ind w:right="-180"/>
        <w:contextualSpacing/>
        <w:rPr>
          <w:szCs w:val="24"/>
        </w:rPr>
      </w:pPr>
    </w:p>
    <w:p w:rsidR="00806EB5" w:rsidRDefault="00806EB5" w:rsidP="00B569F7">
      <w:pPr>
        <w:ind w:right="-180"/>
        <w:contextualSpacing/>
        <w:rPr>
          <w:szCs w:val="24"/>
        </w:rPr>
      </w:pPr>
      <w:r>
        <w:rPr>
          <w:szCs w:val="24"/>
        </w:rPr>
        <w:t xml:space="preserve">Dena stated that the concern </w:t>
      </w:r>
      <w:r w:rsidR="00B353ED">
        <w:rPr>
          <w:szCs w:val="24"/>
        </w:rPr>
        <w:t xml:space="preserve">with SCBEC in Curry County </w:t>
      </w:r>
      <w:r>
        <w:rPr>
          <w:szCs w:val="24"/>
        </w:rPr>
        <w:t xml:space="preserve">would be if they have not responded to the constructive feedback and shown </w:t>
      </w:r>
      <w:r w:rsidR="00B353ED">
        <w:rPr>
          <w:szCs w:val="24"/>
        </w:rPr>
        <w:t>improvement, but there has been a turnaround and she felt SOWIB had to stick to the terms of the RFP</w:t>
      </w:r>
      <w:r>
        <w:rPr>
          <w:szCs w:val="24"/>
        </w:rPr>
        <w:t>.</w:t>
      </w:r>
    </w:p>
    <w:p w:rsidR="00806EB5" w:rsidRDefault="00806EB5" w:rsidP="00B569F7">
      <w:pPr>
        <w:ind w:right="-180"/>
        <w:contextualSpacing/>
        <w:rPr>
          <w:szCs w:val="24"/>
        </w:rPr>
      </w:pPr>
    </w:p>
    <w:p w:rsidR="00806EB5" w:rsidRDefault="00806EB5" w:rsidP="00B569F7">
      <w:pPr>
        <w:ind w:right="-180"/>
        <w:contextualSpacing/>
        <w:rPr>
          <w:szCs w:val="24"/>
        </w:rPr>
      </w:pPr>
      <w:r>
        <w:rPr>
          <w:szCs w:val="24"/>
        </w:rPr>
        <w:t>Melissa Metz</w:t>
      </w:r>
      <w:r w:rsidR="00BB4828">
        <w:rPr>
          <w:szCs w:val="24"/>
        </w:rPr>
        <w:t>,</w:t>
      </w:r>
      <w:r>
        <w:rPr>
          <w:szCs w:val="24"/>
        </w:rPr>
        <w:t xml:space="preserve"> CEO of SCBEC</w:t>
      </w:r>
      <w:r w:rsidR="00B353ED">
        <w:rPr>
          <w:szCs w:val="24"/>
        </w:rPr>
        <w:t xml:space="preserve"> stated that </w:t>
      </w:r>
      <w:r w:rsidR="00BB4828">
        <w:rPr>
          <w:szCs w:val="24"/>
        </w:rPr>
        <w:t>the performance</w:t>
      </w:r>
      <w:r w:rsidR="00B353ED">
        <w:rPr>
          <w:szCs w:val="24"/>
        </w:rPr>
        <w:t xml:space="preserve"> issues they experienced were due to </w:t>
      </w:r>
      <w:r>
        <w:rPr>
          <w:szCs w:val="24"/>
        </w:rPr>
        <w:t xml:space="preserve">unexpected retirements </w:t>
      </w:r>
      <w:r w:rsidR="00B353ED">
        <w:rPr>
          <w:szCs w:val="24"/>
        </w:rPr>
        <w:t>of both staff in Curry, so in August they had to sta</w:t>
      </w:r>
      <w:r w:rsidR="00BB4828">
        <w:rPr>
          <w:szCs w:val="24"/>
        </w:rPr>
        <w:t>rt from scratch with new employees</w:t>
      </w:r>
      <w:r w:rsidR="00B353ED">
        <w:rPr>
          <w:szCs w:val="24"/>
        </w:rPr>
        <w:t xml:space="preserve">. It took time to get them tooled up but now they are reaching performance requirements. </w:t>
      </w:r>
    </w:p>
    <w:p w:rsidR="00806EB5" w:rsidRDefault="00806EB5" w:rsidP="00B569F7">
      <w:pPr>
        <w:ind w:right="-180"/>
        <w:contextualSpacing/>
        <w:rPr>
          <w:szCs w:val="24"/>
        </w:rPr>
      </w:pPr>
    </w:p>
    <w:p w:rsidR="004A04B8" w:rsidRDefault="00B353ED" w:rsidP="00B569F7">
      <w:pPr>
        <w:ind w:right="-180"/>
        <w:contextualSpacing/>
        <w:rPr>
          <w:szCs w:val="24"/>
        </w:rPr>
      </w:pPr>
      <w:r>
        <w:rPr>
          <w:szCs w:val="24"/>
        </w:rPr>
        <w:t xml:space="preserve">Bryan stated that </w:t>
      </w:r>
      <w:r w:rsidR="00EC7E63">
        <w:rPr>
          <w:szCs w:val="24"/>
        </w:rPr>
        <w:t>SOWIB also received a proposal from ResCare, a national company that provides services</w:t>
      </w:r>
      <w:r w:rsidR="00EB5EC7">
        <w:rPr>
          <w:szCs w:val="24"/>
        </w:rPr>
        <w:t>. On the surface, it looks like this is the company we should be going with. However,</w:t>
      </w:r>
      <w:r w:rsidR="00EC7E63">
        <w:rPr>
          <w:szCs w:val="24"/>
        </w:rPr>
        <w:t xml:space="preserve"> </w:t>
      </w:r>
      <w:r w:rsidR="006373E6">
        <w:rPr>
          <w:szCs w:val="24"/>
        </w:rPr>
        <w:t xml:space="preserve">the proposal from </w:t>
      </w:r>
      <w:r>
        <w:rPr>
          <w:szCs w:val="24"/>
        </w:rPr>
        <w:t xml:space="preserve">ResCare was not tailored to </w:t>
      </w:r>
      <w:r w:rsidR="006373E6">
        <w:rPr>
          <w:szCs w:val="24"/>
        </w:rPr>
        <w:t xml:space="preserve">meet </w:t>
      </w:r>
      <w:r>
        <w:rPr>
          <w:szCs w:val="24"/>
        </w:rPr>
        <w:t>the needs of our region and he felt th</w:t>
      </w:r>
      <w:r w:rsidR="00EB5EC7">
        <w:rPr>
          <w:szCs w:val="24"/>
        </w:rPr>
        <w:t xml:space="preserve">at the proposal was a rubber stamp submission.  He worried that they wouldn’t give </w:t>
      </w:r>
      <w:r w:rsidR="00CA1B89">
        <w:rPr>
          <w:szCs w:val="24"/>
        </w:rPr>
        <w:t>t</w:t>
      </w:r>
      <w:r w:rsidR="00EB5EC7">
        <w:rPr>
          <w:szCs w:val="24"/>
        </w:rPr>
        <w:t xml:space="preserve">he service </w:t>
      </w:r>
      <w:r w:rsidR="00CA1B89">
        <w:rPr>
          <w:szCs w:val="24"/>
        </w:rPr>
        <w:t xml:space="preserve">the board </w:t>
      </w:r>
      <w:r w:rsidR="00EB5EC7">
        <w:rPr>
          <w:szCs w:val="24"/>
        </w:rPr>
        <w:t xml:space="preserve">required. </w:t>
      </w:r>
      <w:r>
        <w:rPr>
          <w:szCs w:val="24"/>
        </w:rPr>
        <w:t xml:space="preserve"> </w:t>
      </w:r>
      <w:r w:rsidR="00D07361">
        <w:rPr>
          <w:szCs w:val="24"/>
        </w:rPr>
        <w:t xml:space="preserve">What impressed </w:t>
      </w:r>
      <w:r w:rsidR="00EB5EC7">
        <w:rPr>
          <w:szCs w:val="24"/>
        </w:rPr>
        <w:t>him</w:t>
      </w:r>
      <w:r w:rsidR="00D07361">
        <w:rPr>
          <w:szCs w:val="24"/>
        </w:rPr>
        <w:t xml:space="preserve"> with SCBEC is that </w:t>
      </w:r>
      <w:r w:rsidR="00EB5EC7">
        <w:rPr>
          <w:szCs w:val="24"/>
        </w:rPr>
        <w:t xml:space="preserve">after harsh criticism, they responded well and </w:t>
      </w:r>
      <w:r w:rsidR="00D07361">
        <w:rPr>
          <w:szCs w:val="24"/>
        </w:rPr>
        <w:t>fixed the problem</w:t>
      </w:r>
      <w:r w:rsidR="00EB5EC7">
        <w:rPr>
          <w:szCs w:val="24"/>
        </w:rPr>
        <w:t>s</w:t>
      </w:r>
      <w:r w:rsidR="00D07361">
        <w:rPr>
          <w:szCs w:val="24"/>
        </w:rPr>
        <w:t xml:space="preserve">.  </w:t>
      </w:r>
    </w:p>
    <w:p w:rsidR="00D07361" w:rsidRDefault="00D07361" w:rsidP="00B569F7">
      <w:pPr>
        <w:ind w:right="-180"/>
        <w:contextualSpacing/>
        <w:rPr>
          <w:szCs w:val="24"/>
        </w:rPr>
      </w:pPr>
    </w:p>
    <w:p w:rsidR="002D79E1" w:rsidRDefault="00EB5EC7" w:rsidP="00B569F7">
      <w:pPr>
        <w:ind w:right="-180"/>
        <w:contextualSpacing/>
        <w:rPr>
          <w:szCs w:val="24"/>
        </w:rPr>
      </w:pPr>
      <w:r>
        <w:rPr>
          <w:szCs w:val="24"/>
        </w:rPr>
        <w:t xml:space="preserve">Kelly stated a concern that </w:t>
      </w:r>
      <w:r w:rsidR="00D07361">
        <w:rPr>
          <w:szCs w:val="24"/>
        </w:rPr>
        <w:t xml:space="preserve">3 months </w:t>
      </w:r>
      <w:r w:rsidR="00CA1B89">
        <w:rPr>
          <w:szCs w:val="24"/>
        </w:rPr>
        <w:t>do not</w:t>
      </w:r>
      <w:r w:rsidR="00D07361">
        <w:rPr>
          <w:szCs w:val="24"/>
        </w:rPr>
        <w:t xml:space="preserve"> make a trend</w:t>
      </w:r>
      <w:r>
        <w:rPr>
          <w:szCs w:val="24"/>
        </w:rPr>
        <w:t xml:space="preserve"> and if the board chooses SCBEC and then they run into performance issues, we are in trouble.  He then asked M</w:t>
      </w:r>
      <w:r w:rsidR="002D79E1">
        <w:rPr>
          <w:szCs w:val="24"/>
        </w:rPr>
        <w:t>elissa</w:t>
      </w:r>
      <w:r>
        <w:rPr>
          <w:szCs w:val="24"/>
        </w:rPr>
        <w:t xml:space="preserve"> how</w:t>
      </w:r>
      <w:r w:rsidR="00CA1B89">
        <w:rPr>
          <w:szCs w:val="24"/>
        </w:rPr>
        <w:t xml:space="preserve"> she is going to staff Douglas C</w:t>
      </w:r>
      <w:r>
        <w:rPr>
          <w:szCs w:val="24"/>
        </w:rPr>
        <w:t xml:space="preserve">ounty if they take over July 1. </w:t>
      </w:r>
    </w:p>
    <w:p w:rsidR="00EB5EC7" w:rsidRDefault="00EB5EC7" w:rsidP="00B569F7">
      <w:pPr>
        <w:ind w:right="-180"/>
        <w:contextualSpacing/>
        <w:rPr>
          <w:szCs w:val="24"/>
        </w:rPr>
      </w:pPr>
    </w:p>
    <w:p w:rsidR="00A35B6E" w:rsidRDefault="002D79E1" w:rsidP="00B569F7">
      <w:pPr>
        <w:ind w:right="-180"/>
        <w:contextualSpacing/>
        <w:rPr>
          <w:szCs w:val="24"/>
        </w:rPr>
      </w:pPr>
      <w:r>
        <w:rPr>
          <w:szCs w:val="24"/>
        </w:rPr>
        <w:t xml:space="preserve">Melissa stated that </w:t>
      </w:r>
      <w:r w:rsidR="00EB5EC7">
        <w:rPr>
          <w:szCs w:val="24"/>
        </w:rPr>
        <w:t xml:space="preserve">the goal will be to </w:t>
      </w:r>
      <w:r>
        <w:rPr>
          <w:szCs w:val="24"/>
        </w:rPr>
        <w:t>minimize any disruption in Douglas County</w:t>
      </w:r>
      <w:r w:rsidR="00EB5EC7">
        <w:rPr>
          <w:szCs w:val="24"/>
        </w:rPr>
        <w:t>, so</w:t>
      </w:r>
      <w:r>
        <w:rPr>
          <w:szCs w:val="24"/>
        </w:rPr>
        <w:t xml:space="preserve"> SCBEC would </w:t>
      </w:r>
      <w:r w:rsidR="00EB5EC7">
        <w:rPr>
          <w:szCs w:val="24"/>
        </w:rPr>
        <w:t xml:space="preserve">first </w:t>
      </w:r>
      <w:r>
        <w:rPr>
          <w:szCs w:val="24"/>
        </w:rPr>
        <w:t xml:space="preserve">reach out to the staff at UT&amp;E and offer them </w:t>
      </w:r>
      <w:r w:rsidR="00EB5EC7">
        <w:rPr>
          <w:szCs w:val="24"/>
        </w:rPr>
        <w:t xml:space="preserve">the </w:t>
      </w:r>
      <w:r>
        <w:rPr>
          <w:szCs w:val="24"/>
        </w:rPr>
        <w:t>first opportunity to apply for the positions</w:t>
      </w:r>
      <w:r w:rsidR="00EB5EC7">
        <w:rPr>
          <w:szCs w:val="24"/>
        </w:rPr>
        <w:t xml:space="preserve">. </w:t>
      </w:r>
      <w:r>
        <w:rPr>
          <w:szCs w:val="24"/>
        </w:rPr>
        <w:t xml:space="preserve">The next step would be an external posting. </w:t>
      </w:r>
    </w:p>
    <w:p w:rsidR="002D79E1" w:rsidRDefault="002D79E1" w:rsidP="00B569F7">
      <w:pPr>
        <w:ind w:right="-180"/>
        <w:contextualSpacing/>
        <w:rPr>
          <w:szCs w:val="24"/>
        </w:rPr>
      </w:pPr>
    </w:p>
    <w:p w:rsidR="002D79E1" w:rsidRDefault="00295AE9" w:rsidP="00B569F7">
      <w:pPr>
        <w:ind w:right="-180"/>
        <w:contextualSpacing/>
        <w:rPr>
          <w:szCs w:val="24"/>
        </w:rPr>
      </w:pPr>
      <w:r>
        <w:rPr>
          <w:szCs w:val="24"/>
        </w:rPr>
        <w:t xml:space="preserve">Mike Lehman moved to award the RFP to SCBEC for all 3 counties. Joe Benetti </w:t>
      </w:r>
      <w:r w:rsidR="00EB5EC7">
        <w:rPr>
          <w:szCs w:val="24"/>
        </w:rPr>
        <w:t xml:space="preserve">seconded. No further discussion. </w:t>
      </w:r>
    </w:p>
    <w:p w:rsidR="00295AE9" w:rsidRDefault="00295AE9" w:rsidP="00B569F7">
      <w:pPr>
        <w:ind w:right="-180"/>
        <w:contextualSpacing/>
        <w:rPr>
          <w:szCs w:val="24"/>
        </w:rPr>
      </w:pPr>
    </w:p>
    <w:p w:rsidR="00295AE9" w:rsidRDefault="00295AE9" w:rsidP="00B569F7">
      <w:pPr>
        <w:ind w:right="-180"/>
        <w:contextualSpacing/>
        <w:rPr>
          <w:szCs w:val="24"/>
        </w:rPr>
      </w:pPr>
      <w:r>
        <w:rPr>
          <w:szCs w:val="24"/>
        </w:rPr>
        <w:t>Roll call vote:</w:t>
      </w:r>
      <w:r w:rsidR="00EB5EC7">
        <w:rPr>
          <w:szCs w:val="24"/>
        </w:rPr>
        <w:t xml:space="preserve"> </w:t>
      </w:r>
      <w:r>
        <w:rPr>
          <w:szCs w:val="24"/>
        </w:rPr>
        <w:t>Motion</w:t>
      </w:r>
      <w:r w:rsidR="00EB5EC7">
        <w:rPr>
          <w:szCs w:val="24"/>
        </w:rPr>
        <w:t xml:space="preserve"> passed</w:t>
      </w:r>
      <w:r>
        <w:rPr>
          <w:szCs w:val="24"/>
        </w:rPr>
        <w:t xml:space="preserve"> 9-4.</w:t>
      </w:r>
    </w:p>
    <w:p w:rsidR="006640B4" w:rsidRDefault="006640B4" w:rsidP="00B569F7">
      <w:pPr>
        <w:ind w:right="-180"/>
        <w:contextualSpacing/>
        <w:rPr>
          <w:szCs w:val="24"/>
        </w:rPr>
      </w:pPr>
      <w:r w:rsidRPr="00B94FD2">
        <w:rPr>
          <w:b/>
          <w:szCs w:val="24"/>
        </w:rPr>
        <w:lastRenderedPageBreak/>
        <w:t xml:space="preserve">DISCUSSION AND POSSIBLE ACTION: </w:t>
      </w:r>
      <w:r>
        <w:rPr>
          <w:szCs w:val="24"/>
        </w:rPr>
        <w:t xml:space="preserve">Review, discuss and approve SOWIB’s proposed budget for Program Year 2017; </w:t>
      </w:r>
      <w:r w:rsidRPr="006640B4">
        <w:rPr>
          <w:i/>
          <w:szCs w:val="24"/>
        </w:rPr>
        <w:t>Angie Billings</w:t>
      </w:r>
    </w:p>
    <w:p w:rsidR="00F43092" w:rsidRDefault="00F43092" w:rsidP="00B569F7">
      <w:pPr>
        <w:ind w:right="-180"/>
        <w:contextualSpacing/>
        <w:rPr>
          <w:szCs w:val="24"/>
        </w:rPr>
      </w:pPr>
    </w:p>
    <w:p w:rsidR="00295AE9" w:rsidRPr="004A04B8" w:rsidRDefault="00F43092" w:rsidP="00B569F7">
      <w:pPr>
        <w:ind w:right="-180"/>
        <w:contextualSpacing/>
        <w:rPr>
          <w:szCs w:val="24"/>
        </w:rPr>
      </w:pPr>
      <w:r>
        <w:rPr>
          <w:szCs w:val="24"/>
        </w:rPr>
        <w:t>Jake stated that the Local Elected Official C</w:t>
      </w:r>
      <w:r w:rsidR="00295AE9">
        <w:rPr>
          <w:szCs w:val="24"/>
        </w:rPr>
        <w:t>onsortium</w:t>
      </w:r>
      <w:r>
        <w:rPr>
          <w:szCs w:val="24"/>
        </w:rPr>
        <w:t>’s role</w:t>
      </w:r>
      <w:r w:rsidR="00295AE9">
        <w:rPr>
          <w:szCs w:val="24"/>
        </w:rPr>
        <w:t xml:space="preserve"> is to review and approve </w:t>
      </w:r>
      <w:r>
        <w:rPr>
          <w:szCs w:val="24"/>
        </w:rPr>
        <w:t>SOWIB’s</w:t>
      </w:r>
      <w:r w:rsidR="00295AE9">
        <w:rPr>
          <w:szCs w:val="24"/>
        </w:rPr>
        <w:t xml:space="preserve"> budget. They were scheduled </w:t>
      </w:r>
      <w:r w:rsidR="00BB0232">
        <w:rPr>
          <w:szCs w:val="24"/>
        </w:rPr>
        <w:t>to meet before this board meeting but had to reschedule</w:t>
      </w:r>
      <w:r>
        <w:rPr>
          <w:szCs w:val="24"/>
        </w:rPr>
        <w:t xml:space="preserve">, </w:t>
      </w:r>
      <w:r w:rsidR="00295AE9">
        <w:rPr>
          <w:szCs w:val="24"/>
        </w:rPr>
        <w:t xml:space="preserve">so </w:t>
      </w:r>
      <w:r w:rsidR="00BB0232">
        <w:rPr>
          <w:szCs w:val="24"/>
        </w:rPr>
        <w:t>if the board approve</w:t>
      </w:r>
      <w:r w:rsidR="00CA1B89">
        <w:rPr>
          <w:szCs w:val="24"/>
        </w:rPr>
        <w:t>s</w:t>
      </w:r>
      <w:r w:rsidR="00BB0232">
        <w:rPr>
          <w:szCs w:val="24"/>
        </w:rPr>
        <w:t xml:space="preserve"> </w:t>
      </w:r>
      <w:r w:rsidR="00295AE9">
        <w:rPr>
          <w:szCs w:val="24"/>
        </w:rPr>
        <w:t>th</w:t>
      </w:r>
      <w:r w:rsidR="00CA1B89">
        <w:rPr>
          <w:szCs w:val="24"/>
        </w:rPr>
        <w:t>e</w:t>
      </w:r>
      <w:r w:rsidR="00295AE9">
        <w:rPr>
          <w:szCs w:val="24"/>
        </w:rPr>
        <w:t xml:space="preserve"> budget, </w:t>
      </w:r>
      <w:r w:rsidR="00CA1B89">
        <w:rPr>
          <w:szCs w:val="24"/>
        </w:rPr>
        <w:t>it will still need to go before the</w:t>
      </w:r>
      <w:r w:rsidR="00295AE9">
        <w:rPr>
          <w:szCs w:val="24"/>
        </w:rPr>
        <w:t xml:space="preserve"> Consortium for approval. </w:t>
      </w:r>
    </w:p>
    <w:p w:rsidR="00A35B6E" w:rsidRDefault="00A35B6E" w:rsidP="00B569F7">
      <w:pPr>
        <w:ind w:right="-180"/>
        <w:contextualSpacing/>
        <w:rPr>
          <w:b/>
          <w:szCs w:val="24"/>
        </w:rPr>
      </w:pPr>
    </w:p>
    <w:p w:rsidR="00186DD0" w:rsidRDefault="00BB0232" w:rsidP="005206E3">
      <w:pPr>
        <w:ind w:right="-180"/>
        <w:contextualSpacing/>
        <w:rPr>
          <w:szCs w:val="24"/>
        </w:rPr>
      </w:pPr>
      <w:r>
        <w:rPr>
          <w:szCs w:val="24"/>
        </w:rPr>
        <w:t xml:space="preserve">Angie </w:t>
      </w:r>
      <w:r w:rsidR="005206E3">
        <w:rPr>
          <w:szCs w:val="24"/>
        </w:rPr>
        <w:t xml:space="preserve">presented the budget. She stated that the federal allocation was reduced by 9.5% but that the state </w:t>
      </w:r>
      <w:proofErr w:type="gramStart"/>
      <w:r w:rsidR="005206E3">
        <w:rPr>
          <w:szCs w:val="24"/>
        </w:rPr>
        <w:t>was able to</w:t>
      </w:r>
      <w:proofErr w:type="gramEnd"/>
      <w:r w:rsidR="005206E3">
        <w:rPr>
          <w:szCs w:val="24"/>
        </w:rPr>
        <w:t xml:space="preserve"> offset that to 5% by recouping some youth and dislocated workers funding.  Another issue is that we have not yet received our state funding, but we are anticipating a reduction in state funds, as well. She expects to receive those figures in July.</w:t>
      </w:r>
    </w:p>
    <w:p w:rsidR="006640B4" w:rsidRDefault="006640B4" w:rsidP="00B569F7">
      <w:pPr>
        <w:ind w:right="-180"/>
        <w:contextualSpacing/>
        <w:rPr>
          <w:szCs w:val="24"/>
        </w:rPr>
      </w:pPr>
    </w:p>
    <w:p w:rsidR="006640B4" w:rsidRDefault="006640B4" w:rsidP="00B569F7">
      <w:pPr>
        <w:ind w:right="-180"/>
        <w:contextualSpacing/>
        <w:rPr>
          <w:szCs w:val="24"/>
        </w:rPr>
      </w:pPr>
      <w:r>
        <w:rPr>
          <w:szCs w:val="24"/>
        </w:rPr>
        <w:t>Georgia made a motion to approve the budget as presented. Debbie Sargent seconded.  Passed unanimously.</w:t>
      </w:r>
    </w:p>
    <w:p w:rsidR="006640B4" w:rsidRDefault="006640B4" w:rsidP="00B569F7">
      <w:pPr>
        <w:ind w:right="-180"/>
        <w:contextualSpacing/>
        <w:rPr>
          <w:szCs w:val="24"/>
        </w:rPr>
      </w:pPr>
    </w:p>
    <w:p w:rsidR="006640B4" w:rsidRPr="008358A3" w:rsidRDefault="006640B4" w:rsidP="006640B4">
      <w:pPr>
        <w:pStyle w:val="ListParagraph"/>
        <w:ind w:left="0" w:right="-180"/>
        <w:rPr>
          <w:szCs w:val="24"/>
        </w:rPr>
      </w:pPr>
      <w:r w:rsidRPr="00B94FD2">
        <w:rPr>
          <w:b/>
          <w:szCs w:val="24"/>
        </w:rPr>
        <w:t xml:space="preserve">DISCUSSION AND POSSIBLE ACTION: </w:t>
      </w:r>
      <w:r w:rsidRPr="00B94FD2">
        <w:rPr>
          <w:szCs w:val="24"/>
        </w:rPr>
        <w:t>Review and a</w:t>
      </w:r>
      <w:r>
        <w:rPr>
          <w:szCs w:val="24"/>
        </w:rPr>
        <w:t>pprove board m</w:t>
      </w:r>
      <w:r w:rsidRPr="00B94FD2">
        <w:rPr>
          <w:szCs w:val="24"/>
        </w:rPr>
        <w:t>eeting minutes from</w:t>
      </w:r>
      <w:r>
        <w:rPr>
          <w:szCs w:val="24"/>
        </w:rPr>
        <w:t xml:space="preserve"> February 16, 2017, </w:t>
      </w:r>
      <w:r>
        <w:rPr>
          <w:i/>
          <w:szCs w:val="24"/>
        </w:rPr>
        <w:t>Lisa Crockett</w:t>
      </w:r>
    </w:p>
    <w:p w:rsidR="006640B4" w:rsidRDefault="006640B4" w:rsidP="006640B4">
      <w:pPr>
        <w:pStyle w:val="ListParagraph"/>
        <w:ind w:left="0" w:right="-180"/>
        <w:rPr>
          <w:szCs w:val="24"/>
        </w:rPr>
      </w:pPr>
    </w:p>
    <w:p w:rsidR="006640B4" w:rsidRPr="009E2B08" w:rsidRDefault="006640B4" w:rsidP="006640B4">
      <w:pPr>
        <w:pStyle w:val="ListParagraph"/>
        <w:ind w:left="0" w:right="-180"/>
        <w:rPr>
          <w:szCs w:val="24"/>
        </w:rPr>
      </w:pPr>
      <w:r>
        <w:rPr>
          <w:szCs w:val="24"/>
        </w:rPr>
        <w:t xml:space="preserve">After a minor correction was addressed, a motion was made by </w:t>
      </w:r>
      <w:r w:rsidR="00EB707C">
        <w:rPr>
          <w:szCs w:val="24"/>
        </w:rPr>
        <w:t>Georgia Nowlin</w:t>
      </w:r>
      <w:r>
        <w:rPr>
          <w:szCs w:val="24"/>
        </w:rPr>
        <w:t xml:space="preserve"> and seconded by </w:t>
      </w:r>
      <w:r w:rsidR="00EB707C">
        <w:rPr>
          <w:szCs w:val="24"/>
        </w:rPr>
        <w:t>Mike Lehman</w:t>
      </w:r>
      <w:r>
        <w:rPr>
          <w:szCs w:val="24"/>
        </w:rPr>
        <w:t xml:space="preserve"> to approve the minutes of February 16, 2017. Motion carried by unanimous vote. </w:t>
      </w:r>
      <w:r w:rsidRPr="009E2B08">
        <w:rPr>
          <w:szCs w:val="24"/>
        </w:rPr>
        <w:t xml:space="preserve"> </w:t>
      </w:r>
    </w:p>
    <w:p w:rsidR="006640B4" w:rsidRDefault="006640B4" w:rsidP="00B569F7">
      <w:pPr>
        <w:ind w:right="-180"/>
        <w:contextualSpacing/>
        <w:rPr>
          <w:szCs w:val="24"/>
        </w:rPr>
      </w:pPr>
    </w:p>
    <w:p w:rsidR="00EB707C" w:rsidRPr="00EB707C" w:rsidRDefault="00EB707C" w:rsidP="00EB707C">
      <w:pPr>
        <w:pStyle w:val="ListParagraph"/>
        <w:ind w:left="0" w:right="-180"/>
        <w:rPr>
          <w:i/>
          <w:szCs w:val="24"/>
        </w:rPr>
      </w:pPr>
      <w:r>
        <w:rPr>
          <w:b/>
          <w:szCs w:val="24"/>
        </w:rPr>
        <w:t>INFORMATION</w:t>
      </w:r>
      <w:r w:rsidRPr="00B94FD2">
        <w:rPr>
          <w:b/>
          <w:szCs w:val="24"/>
        </w:rPr>
        <w:t xml:space="preserve">: </w:t>
      </w:r>
      <w:r>
        <w:rPr>
          <w:szCs w:val="24"/>
        </w:rPr>
        <w:t xml:space="preserve">Update on the SOWIB’s Medical Assistant Certification Program, </w:t>
      </w:r>
      <w:r w:rsidRPr="00EB707C">
        <w:rPr>
          <w:i/>
          <w:szCs w:val="24"/>
        </w:rPr>
        <w:t>Kyle Stevens</w:t>
      </w:r>
    </w:p>
    <w:p w:rsidR="00EB707C" w:rsidRDefault="00EB707C" w:rsidP="00EB707C">
      <w:pPr>
        <w:pStyle w:val="ListParagraph"/>
        <w:ind w:left="0" w:right="-180"/>
        <w:rPr>
          <w:szCs w:val="24"/>
        </w:rPr>
      </w:pPr>
    </w:p>
    <w:p w:rsidR="00EB707C" w:rsidRDefault="009B3C84" w:rsidP="00EB707C">
      <w:pPr>
        <w:pStyle w:val="ListParagraph"/>
        <w:ind w:left="0" w:right="-180"/>
        <w:rPr>
          <w:szCs w:val="24"/>
        </w:rPr>
      </w:pPr>
      <w:r>
        <w:rPr>
          <w:szCs w:val="24"/>
        </w:rPr>
        <w:t xml:space="preserve">Kyle explained that the </w:t>
      </w:r>
      <w:r w:rsidR="00A37268">
        <w:rPr>
          <w:szCs w:val="24"/>
        </w:rPr>
        <w:t xml:space="preserve">Medical Assistant Certification Program has been a success so far. There are currently 191 Medical Assistants signed up for the program: 49 in Douglas County, 129 in Coos County, and 13 in Curry County.  Coos numbers are high because we have a large employer that had not certified </w:t>
      </w:r>
      <w:proofErr w:type="gramStart"/>
      <w:r w:rsidR="00A37268">
        <w:rPr>
          <w:szCs w:val="24"/>
        </w:rPr>
        <w:t>the majority of</w:t>
      </w:r>
      <w:proofErr w:type="gramEnd"/>
      <w:r w:rsidR="00A37268">
        <w:rPr>
          <w:szCs w:val="24"/>
        </w:rPr>
        <w:t xml:space="preserve"> their MAs and they needed that certification before federal regulations caught up. </w:t>
      </w:r>
      <w:r w:rsidR="00315585">
        <w:rPr>
          <w:szCs w:val="24"/>
        </w:rPr>
        <w:t>SOWIB staff</w:t>
      </w:r>
      <w:r w:rsidR="00A37268">
        <w:rPr>
          <w:szCs w:val="24"/>
        </w:rPr>
        <w:t xml:space="preserve"> created a crash course test prep, worked with certification bodies and hired instructors to teach the classes.  Coos has a pass rate of 95.5% and with 6 people tested in Douglas, they have a 100% pass rate. </w:t>
      </w:r>
      <w:r w:rsidR="00D86845">
        <w:rPr>
          <w:szCs w:val="24"/>
        </w:rPr>
        <w:t xml:space="preserve">The national pass rate is 70% and the state rate is 70.5%. </w:t>
      </w:r>
      <w:r w:rsidR="00A37268">
        <w:rPr>
          <w:szCs w:val="24"/>
        </w:rPr>
        <w:t>The bulk of the remaining students will be tested within the next 2 weeks.</w:t>
      </w:r>
      <w:r w:rsidR="00D86845">
        <w:rPr>
          <w:szCs w:val="24"/>
        </w:rPr>
        <w:t xml:space="preserve">  It has been highly successful</w:t>
      </w:r>
      <w:r w:rsidR="00CA1B89">
        <w:rPr>
          <w:szCs w:val="24"/>
        </w:rPr>
        <w:t>,</w:t>
      </w:r>
      <w:r w:rsidR="00D86845">
        <w:rPr>
          <w:szCs w:val="24"/>
        </w:rPr>
        <w:t xml:space="preserve"> plus it brought in roughly $38,000 from outside funding.</w:t>
      </w:r>
    </w:p>
    <w:p w:rsidR="009B3C84" w:rsidRDefault="009B3C84" w:rsidP="00EB707C">
      <w:pPr>
        <w:pStyle w:val="ListParagraph"/>
        <w:ind w:left="0" w:right="-180"/>
        <w:rPr>
          <w:szCs w:val="24"/>
        </w:rPr>
      </w:pPr>
    </w:p>
    <w:p w:rsidR="009B3C84" w:rsidRDefault="009B3C84" w:rsidP="00EB707C">
      <w:pPr>
        <w:pStyle w:val="ListParagraph"/>
        <w:ind w:left="0" w:right="-180"/>
        <w:rPr>
          <w:szCs w:val="24"/>
        </w:rPr>
      </w:pPr>
      <w:r>
        <w:rPr>
          <w:szCs w:val="24"/>
        </w:rPr>
        <w:t xml:space="preserve">Jake added that one of the </w:t>
      </w:r>
      <w:r w:rsidR="00D86845">
        <w:rPr>
          <w:szCs w:val="24"/>
        </w:rPr>
        <w:t>key components that has made the</w:t>
      </w:r>
      <w:r>
        <w:rPr>
          <w:szCs w:val="24"/>
        </w:rPr>
        <w:t xml:space="preserve"> program so successful is that the problem was identified as part of our sector partnership in healthcare. </w:t>
      </w:r>
      <w:r w:rsidR="00D86845">
        <w:rPr>
          <w:szCs w:val="24"/>
        </w:rPr>
        <w:t>It</w:t>
      </w:r>
      <w:r>
        <w:rPr>
          <w:szCs w:val="24"/>
        </w:rPr>
        <w:t xml:space="preserve"> underscores the i</w:t>
      </w:r>
      <w:r w:rsidR="00D86845">
        <w:rPr>
          <w:szCs w:val="24"/>
        </w:rPr>
        <w:t>mportance of getting the sector-</w:t>
      </w:r>
      <w:r>
        <w:rPr>
          <w:szCs w:val="24"/>
        </w:rPr>
        <w:t xml:space="preserve">based work going forward.   </w:t>
      </w:r>
      <w:r w:rsidR="00CA1B89">
        <w:rPr>
          <w:szCs w:val="24"/>
        </w:rPr>
        <w:t xml:space="preserve">SOWIB is currently working on other projects in our targeted sectors, including </w:t>
      </w:r>
      <w:r>
        <w:rPr>
          <w:szCs w:val="24"/>
        </w:rPr>
        <w:t>Tourism</w:t>
      </w:r>
      <w:r w:rsidR="00D86845">
        <w:rPr>
          <w:szCs w:val="24"/>
        </w:rPr>
        <w:t xml:space="preserve"> and </w:t>
      </w:r>
      <w:r w:rsidR="00315585">
        <w:rPr>
          <w:szCs w:val="24"/>
        </w:rPr>
        <w:t>is</w:t>
      </w:r>
      <w:r w:rsidR="00CA1B89">
        <w:rPr>
          <w:szCs w:val="24"/>
        </w:rPr>
        <w:t xml:space="preserve"> working</w:t>
      </w:r>
      <w:r>
        <w:rPr>
          <w:szCs w:val="24"/>
        </w:rPr>
        <w:t xml:space="preserve"> with </w:t>
      </w:r>
      <w:r w:rsidR="00CA1B89">
        <w:rPr>
          <w:szCs w:val="24"/>
        </w:rPr>
        <w:t xml:space="preserve">board member </w:t>
      </w:r>
      <w:r>
        <w:rPr>
          <w:szCs w:val="24"/>
        </w:rPr>
        <w:t>Wayne Patterson</w:t>
      </w:r>
      <w:r w:rsidR="00CA1B89">
        <w:rPr>
          <w:szCs w:val="24"/>
        </w:rPr>
        <w:t xml:space="preserve"> and</w:t>
      </w:r>
      <w:r w:rsidR="00315585">
        <w:rPr>
          <w:szCs w:val="24"/>
        </w:rPr>
        <w:t xml:space="preserve"> t</w:t>
      </w:r>
      <w:r>
        <w:rPr>
          <w:szCs w:val="24"/>
        </w:rPr>
        <w:t xml:space="preserve">imber </w:t>
      </w:r>
      <w:r w:rsidR="00CA1B89">
        <w:rPr>
          <w:szCs w:val="24"/>
        </w:rPr>
        <w:t>employers to identify solutions for their workforce needs</w:t>
      </w:r>
      <w:r w:rsidR="00D86845">
        <w:rPr>
          <w:szCs w:val="24"/>
        </w:rPr>
        <w:t xml:space="preserve">. </w:t>
      </w:r>
    </w:p>
    <w:p w:rsidR="00EF6873" w:rsidRDefault="00EF6873" w:rsidP="00EB707C">
      <w:pPr>
        <w:pStyle w:val="ListParagraph"/>
        <w:ind w:left="0" w:right="-180"/>
        <w:rPr>
          <w:szCs w:val="24"/>
        </w:rPr>
      </w:pPr>
    </w:p>
    <w:p w:rsidR="00EF6873" w:rsidRDefault="00EF6873" w:rsidP="00EF6873">
      <w:pPr>
        <w:pStyle w:val="ListParagraph"/>
        <w:ind w:left="0" w:right="-180"/>
        <w:rPr>
          <w:i/>
          <w:szCs w:val="24"/>
        </w:rPr>
      </w:pPr>
      <w:bookmarkStart w:id="1" w:name="_Hlk489277999"/>
      <w:r>
        <w:rPr>
          <w:b/>
          <w:szCs w:val="24"/>
        </w:rPr>
        <w:t>INFORMATION</w:t>
      </w:r>
      <w:r w:rsidRPr="00B94FD2">
        <w:rPr>
          <w:b/>
          <w:szCs w:val="24"/>
        </w:rPr>
        <w:t xml:space="preserve">: </w:t>
      </w:r>
      <w:r>
        <w:rPr>
          <w:szCs w:val="24"/>
        </w:rPr>
        <w:t xml:space="preserve">Performance Update; </w:t>
      </w:r>
      <w:r w:rsidRPr="00EF6873">
        <w:rPr>
          <w:i/>
          <w:szCs w:val="24"/>
        </w:rPr>
        <w:t>Kyle Stevens</w:t>
      </w:r>
    </w:p>
    <w:bookmarkEnd w:id="1"/>
    <w:p w:rsidR="00EF6873" w:rsidRDefault="00834B8A" w:rsidP="00EF6873">
      <w:pPr>
        <w:pStyle w:val="ListParagraph"/>
        <w:ind w:left="0" w:right="-180"/>
        <w:rPr>
          <w:szCs w:val="24"/>
        </w:rPr>
      </w:pPr>
      <w:r w:rsidRPr="005131D1">
        <w:rPr>
          <w:szCs w:val="24"/>
        </w:rPr>
        <w:t>Kyle provided a</w:t>
      </w:r>
      <w:r>
        <w:rPr>
          <w:szCs w:val="24"/>
        </w:rPr>
        <w:t>n update on Coos, Curry and Douglas performance.</w:t>
      </w:r>
    </w:p>
    <w:p w:rsidR="00A96CF2" w:rsidRDefault="00A96CF2" w:rsidP="00EF6873">
      <w:pPr>
        <w:pStyle w:val="ListParagraph"/>
        <w:ind w:left="0" w:right="-180"/>
        <w:rPr>
          <w:szCs w:val="24"/>
        </w:rPr>
      </w:pPr>
    </w:p>
    <w:p w:rsidR="00A96CF2" w:rsidRDefault="00A96CF2" w:rsidP="00A96CF2">
      <w:pPr>
        <w:pStyle w:val="ListParagraph"/>
        <w:ind w:left="0" w:right="-180"/>
        <w:rPr>
          <w:i/>
          <w:szCs w:val="24"/>
        </w:rPr>
      </w:pPr>
      <w:r>
        <w:rPr>
          <w:b/>
          <w:szCs w:val="24"/>
        </w:rPr>
        <w:lastRenderedPageBreak/>
        <w:t>INFORMATION</w:t>
      </w:r>
      <w:r w:rsidRPr="00B94FD2">
        <w:rPr>
          <w:b/>
          <w:szCs w:val="24"/>
        </w:rPr>
        <w:t xml:space="preserve">: </w:t>
      </w:r>
      <w:r>
        <w:rPr>
          <w:szCs w:val="24"/>
        </w:rPr>
        <w:t xml:space="preserve">Fiscal Update; </w:t>
      </w:r>
      <w:r w:rsidRPr="00A96CF2">
        <w:rPr>
          <w:i/>
          <w:szCs w:val="24"/>
        </w:rPr>
        <w:t>Angie Billings</w:t>
      </w:r>
    </w:p>
    <w:p w:rsidR="00A96CF2" w:rsidRDefault="00A96CF2" w:rsidP="00EF6873">
      <w:pPr>
        <w:pStyle w:val="ListParagraph"/>
        <w:ind w:left="0" w:right="-180"/>
        <w:rPr>
          <w:szCs w:val="24"/>
        </w:rPr>
      </w:pPr>
      <w:r>
        <w:rPr>
          <w:szCs w:val="24"/>
        </w:rPr>
        <w:t>Angie provided a report on SOWIB board and board support expenses and a report for each of the counties</w:t>
      </w:r>
      <w:r w:rsidR="00710DE8">
        <w:rPr>
          <w:szCs w:val="24"/>
        </w:rPr>
        <w:t>. She also included</w:t>
      </w:r>
      <w:r>
        <w:rPr>
          <w:szCs w:val="24"/>
        </w:rPr>
        <w:t xml:space="preserve"> a report on how much each county is spending on participant costs. </w:t>
      </w:r>
    </w:p>
    <w:p w:rsidR="00834B8A" w:rsidRDefault="00834B8A" w:rsidP="00EF6873">
      <w:pPr>
        <w:pStyle w:val="ListParagraph"/>
        <w:ind w:left="0" w:right="-180"/>
        <w:rPr>
          <w:szCs w:val="24"/>
        </w:rPr>
      </w:pPr>
    </w:p>
    <w:p w:rsidR="00834B8A" w:rsidRDefault="00834B8A" w:rsidP="00834B8A">
      <w:pPr>
        <w:pStyle w:val="ListParagraph"/>
        <w:ind w:left="0" w:right="-180"/>
        <w:rPr>
          <w:szCs w:val="24"/>
        </w:rPr>
      </w:pPr>
      <w:r>
        <w:rPr>
          <w:b/>
          <w:szCs w:val="24"/>
        </w:rPr>
        <w:t>INFORMATION</w:t>
      </w:r>
      <w:r w:rsidRPr="00B94FD2">
        <w:rPr>
          <w:b/>
          <w:szCs w:val="24"/>
        </w:rPr>
        <w:t xml:space="preserve">: </w:t>
      </w:r>
      <w:r>
        <w:rPr>
          <w:szCs w:val="24"/>
        </w:rPr>
        <w:t>Local Leadership Team; Debbie Sargent</w:t>
      </w:r>
    </w:p>
    <w:p w:rsidR="00A96CF2" w:rsidRDefault="00572546" w:rsidP="00834B8A">
      <w:pPr>
        <w:pStyle w:val="ListParagraph"/>
        <w:ind w:left="0" w:right="-180"/>
        <w:rPr>
          <w:szCs w:val="24"/>
        </w:rPr>
      </w:pPr>
      <w:r>
        <w:rPr>
          <w:szCs w:val="24"/>
        </w:rPr>
        <w:t xml:space="preserve">The focus of the last meeting was the Memorandum of Understanding and the Cost-Sharing Agreement which funds the </w:t>
      </w:r>
      <w:proofErr w:type="spellStart"/>
      <w:r>
        <w:rPr>
          <w:szCs w:val="24"/>
        </w:rPr>
        <w:t>WorkSource</w:t>
      </w:r>
      <w:proofErr w:type="spellEnd"/>
      <w:r>
        <w:rPr>
          <w:szCs w:val="24"/>
        </w:rPr>
        <w:t xml:space="preserve"> Center</w:t>
      </w:r>
      <w:r w:rsidR="00710DE8">
        <w:rPr>
          <w:szCs w:val="24"/>
        </w:rPr>
        <w:t>s</w:t>
      </w:r>
      <w:r>
        <w:rPr>
          <w:szCs w:val="24"/>
        </w:rPr>
        <w:t xml:space="preserve">. </w:t>
      </w:r>
    </w:p>
    <w:p w:rsidR="00834B8A" w:rsidRDefault="00834B8A" w:rsidP="00834B8A">
      <w:pPr>
        <w:pStyle w:val="ListParagraph"/>
        <w:ind w:left="0" w:right="-180"/>
        <w:rPr>
          <w:szCs w:val="24"/>
        </w:rPr>
      </w:pPr>
    </w:p>
    <w:p w:rsidR="00834B8A" w:rsidRDefault="00834B8A" w:rsidP="00834B8A">
      <w:pPr>
        <w:pStyle w:val="ListParagraph"/>
        <w:ind w:left="0" w:right="-180"/>
        <w:rPr>
          <w:szCs w:val="24"/>
        </w:rPr>
      </w:pPr>
      <w:r>
        <w:rPr>
          <w:b/>
          <w:szCs w:val="24"/>
        </w:rPr>
        <w:t>INFORMATION</w:t>
      </w:r>
      <w:r w:rsidRPr="00B94FD2">
        <w:rPr>
          <w:b/>
          <w:szCs w:val="24"/>
        </w:rPr>
        <w:t xml:space="preserve">: </w:t>
      </w:r>
      <w:r>
        <w:rPr>
          <w:szCs w:val="24"/>
        </w:rPr>
        <w:t>Regional Economist/Analyst Update; Annette Shelton-</w:t>
      </w:r>
      <w:proofErr w:type="spellStart"/>
      <w:r>
        <w:rPr>
          <w:szCs w:val="24"/>
        </w:rPr>
        <w:t>Tiderman</w:t>
      </w:r>
      <w:proofErr w:type="spellEnd"/>
      <w:r>
        <w:rPr>
          <w:szCs w:val="24"/>
        </w:rPr>
        <w:t>/Kale Donnelly</w:t>
      </w:r>
    </w:p>
    <w:p w:rsidR="00572546" w:rsidRDefault="00572546" w:rsidP="00834B8A">
      <w:pPr>
        <w:pStyle w:val="ListParagraph"/>
        <w:ind w:left="0" w:right="-180"/>
        <w:rPr>
          <w:szCs w:val="24"/>
        </w:rPr>
      </w:pPr>
      <w:r>
        <w:rPr>
          <w:szCs w:val="24"/>
        </w:rPr>
        <w:t xml:space="preserve">The Research Division recently released a new publication called the Employment Landscape of Rural Oregon, available on qualityinfo.com.  Oregon’s overall economy is currently at or near full employment and the state’s unemployment rate is sitting at 3.7%.  </w:t>
      </w:r>
      <w:r w:rsidR="00710DE8">
        <w:rPr>
          <w:szCs w:val="24"/>
        </w:rPr>
        <w:t xml:space="preserve">Although the rural landscape is different than the overall state, </w:t>
      </w:r>
      <w:r w:rsidR="0042799C">
        <w:rPr>
          <w:szCs w:val="24"/>
        </w:rPr>
        <w:t>Coos, Curry and Douglas</w:t>
      </w:r>
      <w:r>
        <w:rPr>
          <w:szCs w:val="24"/>
        </w:rPr>
        <w:t xml:space="preserve"> unemployment rates </w:t>
      </w:r>
      <w:r w:rsidR="003B2670">
        <w:rPr>
          <w:szCs w:val="24"/>
        </w:rPr>
        <w:t>have dropped from a year ago</w:t>
      </w:r>
      <w:r>
        <w:rPr>
          <w:szCs w:val="24"/>
        </w:rPr>
        <w:t xml:space="preserve">. Coos County is at 4.9% dropping from 6.7%, Curry dropped from 7.1% to 5.6% and Douglas dropped from 6.5% to 4.9%. </w:t>
      </w:r>
      <w:r w:rsidR="003B2670">
        <w:rPr>
          <w:szCs w:val="24"/>
        </w:rPr>
        <w:t xml:space="preserve"> Additional data is included in the board packet.</w:t>
      </w:r>
    </w:p>
    <w:p w:rsidR="00834B8A" w:rsidRDefault="00834B8A" w:rsidP="00834B8A">
      <w:pPr>
        <w:pStyle w:val="ListParagraph"/>
        <w:ind w:left="0" w:right="-180"/>
        <w:rPr>
          <w:szCs w:val="24"/>
        </w:rPr>
      </w:pPr>
    </w:p>
    <w:p w:rsidR="00834B8A" w:rsidRDefault="00BC2350" w:rsidP="00834B8A">
      <w:pPr>
        <w:pStyle w:val="ListParagraph"/>
        <w:ind w:left="0" w:right="-180"/>
        <w:rPr>
          <w:i/>
          <w:szCs w:val="24"/>
        </w:rPr>
      </w:pPr>
      <w:r>
        <w:rPr>
          <w:szCs w:val="24"/>
        </w:rPr>
        <w:t xml:space="preserve">Tami requested SCBEC provide an in-person </w:t>
      </w:r>
      <w:r w:rsidR="000F36E0">
        <w:rPr>
          <w:szCs w:val="24"/>
        </w:rPr>
        <w:t>update</w:t>
      </w:r>
      <w:r>
        <w:rPr>
          <w:szCs w:val="24"/>
        </w:rPr>
        <w:t xml:space="preserve"> at each board meeting as a standing </w:t>
      </w:r>
      <w:r w:rsidR="000F36E0">
        <w:rPr>
          <w:szCs w:val="24"/>
        </w:rPr>
        <w:t>i</w:t>
      </w:r>
      <w:r>
        <w:rPr>
          <w:szCs w:val="24"/>
        </w:rPr>
        <w:t>tem to keep the board informed.</w:t>
      </w:r>
    </w:p>
    <w:p w:rsidR="00834B8A" w:rsidRDefault="00834B8A" w:rsidP="00834B8A">
      <w:pPr>
        <w:pStyle w:val="ListParagraph"/>
        <w:ind w:left="0" w:right="-180"/>
        <w:rPr>
          <w:i/>
          <w:szCs w:val="24"/>
        </w:rPr>
      </w:pPr>
    </w:p>
    <w:p w:rsidR="00834B8A" w:rsidRDefault="000F36E0" w:rsidP="00EF6873">
      <w:pPr>
        <w:pStyle w:val="ListParagraph"/>
        <w:ind w:left="0" w:right="-180"/>
        <w:rPr>
          <w:szCs w:val="24"/>
        </w:rPr>
      </w:pPr>
      <w:r>
        <w:rPr>
          <w:szCs w:val="24"/>
        </w:rPr>
        <w:t>Meeting adjourned at 1:59 pm.</w:t>
      </w:r>
    </w:p>
    <w:p w:rsidR="00EF6873" w:rsidRPr="00EB707C" w:rsidRDefault="00EF6873" w:rsidP="00EF6873">
      <w:pPr>
        <w:pStyle w:val="ListParagraph"/>
        <w:ind w:left="0" w:right="-180"/>
        <w:rPr>
          <w:i/>
          <w:szCs w:val="24"/>
        </w:rPr>
      </w:pPr>
    </w:p>
    <w:p w:rsidR="00EB707C" w:rsidRDefault="00EB707C" w:rsidP="00B569F7">
      <w:pPr>
        <w:ind w:right="-180"/>
        <w:contextualSpacing/>
        <w:rPr>
          <w:szCs w:val="24"/>
        </w:rPr>
      </w:pPr>
    </w:p>
    <w:sectPr w:rsidR="00EB70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64A" w:rsidRDefault="004F064A" w:rsidP="0042799C">
      <w:r>
        <w:separator/>
      </w:r>
    </w:p>
  </w:endnote>
  <w:endnote w:type="continuationSeparator" w:id="0">
    <w:p w:rsidR="004F064A" w:rsidRDefault="004F064A" w:rsidP="0042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9C" w:rsidRDefault="00427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9C" w:rsidRDefault="00427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9C" w:rsidRDefault="00427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64A" w:rsidRDefault="004F064A" w:rsidP="0042799C">
      <w:r>
        <w:separator/>
      </w:r>
    </w:p>
  </w:footnote>
  <w:footnote w:type="continuationSeparator" w:id="0">
    <w:p w:rsidR="004F064A" w:rsidRDefault="004F064A" w:rsidP="0042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9C" w:rsidRDefault="00427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9C" w:rsidRDefault="00427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9C" w:rsidRDefault="00427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7ADC"/>
    <w:multiLevelType w:val="hybridMultilevel"/>
    <w:tmpl w:val="3222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14074"/>
    <w:multiLevelType w:val="hybridMultilevel"/>
    <w:tmpl w:val="D33A0AD0"/>
    <w:lvl w:ilvl="0" w:tplc="2F4A7B0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AC2ED1"/>
    <w:multiLevelType w:val="hybridMultilevel"/>
    <w:tmpl w:val="ADC86C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B9"/>
    <w:rsid w:val="00027F49"/>
    <w:rsid w:val="000826C9"/>
    <w:rsid w:val="00095A7E"/>
    <w:rsid w:val="000E3EB9"/>
    <w:rsid w:val="000F36E0"/>
    <w:rsid w:val="001027DB"/>
    <w:rsid w:val="00137478"/>
    <w:rsid w:val="00142245"/>
    <w:rsid w:val="00155C30"/>
    <w:rsid w:val="00170E67"/>
    <w:rsid w:val="00186DD0"/>
    <w:rsid w:val="001A0949"/>
    <w:rsid w:val="001D3210"/>
    <w:rsid w:val="00237104"/>
    <w:rsid w:val="002573D2"/>
    <w:rsid w:val="00260DC4"/>
    <w:rsid w:val="002925CD"/>
    <w:rsid w:val="00294229"/>
    <w:rsid w:val="00295AE9"/>
    <w:rsid w:val="00296692"/>
    <w:rsid w:val="002A0887"/>
    <w:rsid w:val="002D79E1"/>
    <w:rsid w:val="00315585"/>
    <w:rsid w:val="00324B0D"/>
    <w:rsid w:val="003B2670"/>
    <w:rsid w:val="003C0DCB"/>
    <w:rsid w:val="0042095C"/>
    <w:rsid w:val="0042799C"/>
    <w:rsid w:val="00437913"/>
    <w:rsid w:val="00444BFA"/>
    <w:rsid w:val="00495345"/>
    <w:rsid w:val="004A04B8"/>
    <w:rsid w:val="004F064A"/>
    <w:rsid w:val="00504153"/>
    <w:rsid w:val="00516782"/>
    <w:rsid w:val="005206E3"/>
    <w:rsid w:val="00544D3C"/>
    <w:rsid w:val="00545583"/>
    <w:rsid w:val="00572546"/>
    <w:rsid w:val="00573072"/>
    <w:rsid w:val="00584098"/>
    <w:rsid w:val="00585E5C"/>
    <w:rsid w:val="00596665"/>
    <w:rsid w:val="005A01DF"/>
    <w:rsid w:val="005B5A40"/>
    <w:rsid w:val="005D30B3"/>
    <w:rsid w:val="00631CEB"/>
    <w:rsid w:val="006373E6"/>
    <w:rsid w:val="00654C0D"/>
    <w:rsid w:val="006558C7"/>
    <w:rsid w:val="006640B4"/>
    <w:rsid w:val="006F5D68"/>
    <w:rsid w:val="0070489E"/>
    <w:rsid w:val="00710DE8"/>
    <w:rsid w:val="00721ECA"/>
    <w:rsid w:val="00727C5F"/>
    <w:rsid w:val="00783E46"/>
    <w:rsid w:val="007B767F"/>
    <w:rsid w:val="0080108A"/>
    <w:rsid w:val="00806EB5"/>
    <w:rsid w:val="00807A8D"/>
    <w:rsid w:val="00826B99"/>
    <w:rsid w:val="00834B8A"/>
    <w:rsid w:val="00843F54"/>
    <w:rsid w:val="00857051"/>
    <w:rsid w:val="0087701B"/>
    <w:rsid w:val="008B3B22"/>
    <w:rsid w:val="008C4D0A"/>
    <w:rsid w:val="008D6E38"/>
    <w:rsid w:val="008F662C"/>
    <w:rsid w:val="00950E38"/>
    <w:rsid w:val="009B3C84"/>
    <w:rsid w:val="00A35B6E"/>
    <w:rsid w:val="00A37268"/>
    <w:rsid w:val="00A66226"/>
    <w:rsid w:val="00A96CF2"/>
    <w:rsid w:val="00B119FA"/>
    <w:rsid w:val="00B33A3B"/>
    <w:rsid w:val="00B353ED"/>
    <w:rsid w:val="00B569F7"/>
    <w:rsid w:val="00B75BB1"/>
    <w:rsid w:val="00BB0232"/>
    <w:rsid w:val="00BB4828"/>
    <w:rsid w:val="00BC2350"/>
    <w:rsid w:val="00C04EC4"/>
    <w:rsid w:val="00C05360"/>
    <w:rsid w:val="00C37B1B"/>
    <w:rsid w:val="00C44B9C"/>
    <w:rsid w:val="00C44D58"/>
    <w:rsid w:val="00C61314"/>
    <w:rsid w:val="00CA1B89"/>
    <w:rsid w:val="00CB3955"/>
    <w:rsid w:val="00CF07E3"/>
    <w:rsid w:val="00D07361"/>
    <w:rsid w:val="00D258CC"/>
    <w:rsid w:val="00D65B01"/>
    <w:rsid w:val="00D86845"/>
    <w:rsid w:val="00DA4A1F"/>
    <w:rsid w:val="00DB4236"/>
    <w:rsid w:val="00DC0F80"/>
    <w:rsid w:val="00DE6851"/>
    <w:rsid w:val="00EA785F"/>
    <w:rsid w:val="00EB5EC7"/>
    <w:rsid w:val="00EB707C"/>
    <w:rsid w:val="00EC7E63"/>
    <w:rsid w:val="00ED65F5"/>
    <w:rsid w:val="00EF6873"/>
    <w:rsid w:val="00EF7670"/>
    <w:rsid w:val="00F018AF"/>
    <w:rsid w:val="00F031C7"/>
    <w:rsid w:val="00F07363"/>
    <w:rsid w:val="00F21C64"/>
    <w:rsid w:val="00F3195F"/>
    <w:rsid w:val="00F42706"/>
    <w:rsid w:val="00F43092"/>
    <w:rsid w:val="00F70B8A"/>
    <w:rsid w:val="00F96A70"/>
    <w:rsid w:val="00FC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BA9C82-7DDA-43FC-934A-C06225EF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EB9"/>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EB9"/>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EB9"/>
    <w:pPr>
      <w:ind w:left="720"/>
      <w:contextualSpacing/>
    </w:pPr>
  </w:style>
  <w:style w:type="table" w:customStyle="1" w:styleId="TableGrid1">
    <w:name w:val="Table Grid1"/>
    <w:basedOn w:val="TableNormal"/>
    <w:next w:val="TableGrid"/>
    <w:uiPriority w:val="39"/>
    <w:rsid w:val="000E3EB9"/>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E3EB9"/>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99C"/>
    <w:pPr>
      <w:tabs>
        <w:tab w:val="center" w:pos="4680"/>
        <w:tab w:val="right" w:pos="9360"/>
      </w:tabs>
    </w:pPr>
  </w:style>
  <w:style w:type="character" w:customStyle="1" w:styleId="HeaderChar">
    <w:name w:val="Header Char"/>
    <w:basedOn w:val="DefaultParagraphFont"/>
    <w:link w:val="Header"/>
    <w:uiPriority w:val="99"/>
    <w:rsid w:val="0042799C"/>
    <w:rPr>
      <w:rFonts w:ascii="Cambria" w:hAnsi="Cambria"/>
      <w:sz w:val="24"/>
    </w:rPr>
  </w:style>
  <w:style w:type="paragraph" w:styleId="Footer">
    <w:name w:val="footer"/>
    <w:basedOn w:val="Normal"/>
    <w:link w:val="FooterChar"/>
    <w:uiPriority w:val="99"/>
    <w:unhideWhenUsed/>
    <w:rsid w:val="0042799C"/>
    <w:pPr>
      <w:tabs>
        <w:tab w:val="center" w:pos="4680"/>
        <w:tab w:val="right" w:pos="9360"/>
      </w:tabs>
    </w:pPr>
  </w:style>
  <w:style w:type="character" w:customStyle="1" w:styleId="FooterChar">
    <w:name w:val="Footer Char"/>
    <w:basedOn w:val="DefaultParagraphFont"/>
    <w:link w:val="Footer"/>
    <w:uiPriority w:val="99"/>
    <w:rsid w:val="0042799C"/>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1C590.6549C1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Crockett</dc:creator>
  <cp:keywords/>
  <dc:description/>
  <cp:lastModifiedBy>Lisa Crockett</cp:lastModifiedBy>
  <cp:revision>2</cp:revision>
  <dcterms:created xsi:type="dcterms:W3CDTF">2017-09-13T20:23:00Z</dcterms:created>
  <dcterms:modified xsi:type="dcterms:W3CDTF">2017-09-13T20:23:00Z</dcterms:modified>
</cp:coreProperties>
</file>